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Erwiderung der Geschäftsführer-Verteidigung</w:t>
      </w:r>
    </w:p>
    <w:p>
      <w:pPr>
        <w:spacing w:line="259" w:lineRule="auto" w:after="60"/>
        <w:jc w:val="left"/>
      </w:pPr>
      <w:r>
        <w:rPr>
          <w:b/>
        </w:rPr>
        <w:t>Lohgerber Voss Rechtsanwälte PartG mbB</w:t>
      </w:r>
      <w:r>
        <w:t xml:space="preserve"> · Gesellschaftsrecht und Organhaftung · Schiffgraben 41 · 30175 Hannover · Telefon 0511 78443-0</w:t>
      </w:r>
    </w:p>
    <w:p>
      <w:pPr>
        <w:spacing w:before="120" w:after="60" w:line="259" w:lineRule="auto"/>
        <w:jc w:val="left"/>
      </w:pPr>
      <w:r>
        <w:rPr>
          <w:rFonts w:ascii="Times New Roman" w:hAnsi="Times New Roman"/>
          <w:b/>
          <w:sz w:val="22"/>
        </w:rPr>
        <w:t>Unser Zeichen: 2026/0912 LV/km · Ihr Zeichen: 114/26 HW</w:t>
      </w:r>
    </w:p>
    <w:p>
      <w:pPr>
        <w:spacing w:before="120" w:after="60" w:line="259" w:lineRule="auto"/>
        <w:jc w:val="left"/>
      </w:pPr>
      <w:r>
        <w:rPr>
          <w:rFonts w:ascii="Times New Roman" w:hAnsi="Times New Roman"/>
          <w:b/>
          <w:sz w:val="22"/>
        </w:rPr>
        <w:t>Hannover, den 24. Juni 2026</w:t>
      </w:r>
    </w:p>
    <w:p>
      <w:pPr>
        <w:spacing w:before="120" w:after="60" w:line="259" w:lineRule="auto"/>
        <w:jc w:val="left"/>
      </w:pPr>
      <w:r>
        <w:rPr>
          <w:rFonts w:ascii="Times New Roman" w:hAnsi="Times New Roman"/>
          <w:b/>
          <w:sz w:val="22"/>
        </w:rPr>
        <w:t>Vorab per beA</w:t>
      </w:r>
    </w:p>
    <w:p>
      <w:pPr>
        <w:spacing w:before="120" w:after="60" w:line="259" w:lineRule="auto"/>
        <w:jc w:val="left"/>
      </w:pPr>
      <w:r>
        <w:rPr>
          <w:rFonts w:ascii="Times New Roman" w:hAnsi="Times New Roman"/>
          <w:b/>
          <w:sz w:val="22"/>
        </w:rPr>
        <w:t>**Frau Rechtsanwältin</w:t>
      </w:r>
    </w:p>
    <w:p>
      <w:pPr>
        <w:spacing w:before="120" w:after="60" w:line="259" w:lineRule="auto"/>
        <w:jc w:val="left"/>
      </w:pPr>
      <w:r>
        <w:rPr>
          <w:rFonts w:ascii="Times New Roman" w:hAnsi="Times New Roman"/>
          <w:b/>
          <w:sz w:val="22"/>
        </w:rPr>
        <w:t>Dr. Henrike Wittkopp</w:t>
      </w:r>
    </w:p>
    <w:p>
      <w:pPr>
        <w:spacing w:before="120" w:after="60" w:line="259" w:lineRule="auto"/>
        <w:jc w:val="left"/>
      </w:pPr>
      <w:r>
        <w:rPr>
          <w:rFonts w:ascii="Times New Roman" w:hAnsi="Times New Roman"/>
          <w:b/>
          <w:sz w:val="22"/>
        </w:rPr>
        <w:t>— als Insolvenzverwalterin der Nordlicht Systemgastronomie GmbH —</w:t>
      </w:r>
    </w:p>
    <w:p>
      <w:pPr>
        <w:spacing w:line="259" w:lineRule="auto" w:after="60"/>
        <w:jc w:val="left"/>
      </w:pPr>
      <w:r>
        <w:t>Georgstraße 24</w:t>
      </w:r>
    </w:p>
    <w:p>
      <w:pPr>
        <w:spacing w:line="259" w:lineRule="auto" w:after="60"/>
        <w:jc w:val="left"/>
      </w:pPr>
      <w:r>
        <w:t>30159 Hannover**</w:t>
      </w:r>
    </w:p>
    <w:p>
      <w:pPr>
        <w:spacing w:line="259" w:lineRule="auto" w:after="60"/>
        <w:jc w:val="left"/>
      </w:pPr>
      <w:r>
        <w:rPr>
          <w:b/>
        </w:rPr>
        <w:t>Betreff: Nordlicht Systemgastronomie GmbH (AG Hannover, 902 IN 388/26) — Ihr Schreiben vom 10. Juni 2026 an Herrn Ohlendorf; Zurückweisung</w:t>
      </w:r>
    </w:p>
    <w:p>
      <w:pPr>
        <w:spacing w:line="259" w:lineRule="auto" w:after="60"/>
        <w:jc w:val="left"/>
      </w:pPr>
      <w:r>
        <w:t>Sehr geehrte Frau Kollegin Dr. Wittkopp,</w:t>
      </w:r>
    </w:p>
    <w:p>
      <w:pPr>
        <w:spacing w:line="259" w:lineRule="auto" w:after="60"/>
        <w:jc w:val="left"/>
      </w:pPr>
      <w:r>
        <w:t>wir zeigen die Vertretung von Herrn Sven Ohlendorf an. Der geltend gemachte Anspruch besteht nicht, jedenfalls nicht in der behaupteten Höhe. Im Einzelnen:</w:t>
      </w:r>
    </w:p>
    <w:p>
      <w:pPr>
        <w:pStyle w:val="Heading2"/>
        <w:spacing w:line="259" w:lineRule="auto" w:after="60"/>
      </w:pPr>
      <w:r>
        <w:rPr>
          <w:rFonts w:ascii="Times New Roman" w:hAnsi="Times New Roman"/>
        </w:rPr>
        <w:t>1 Keine Zahlungsunfähigkeit vor Januar 2026</w:t>
      </w:r>
    </w:p>
    <w:p>
      <w:pPr>
        <w:spacing w:line="259" w:lineRule="auto" w:after="60"/>
        <w:jc w:val="left"/>
      </w:pPr>
      <w:r>
        <w:t>Ihr Liquiditätsstatus ist eine nachträgliche Rekonstruktion. Er berücksichtigt nicht, dass wesentliche "fällige" Verbindlichkeiten tatsächlich gestundet waren: Der Hauptlieferant Gastroquell räumte seit Jahren rollierende Zahlungsziele von 90 Tagen ein, die Vermieterin der drei Braunschweiger Filialen hatte einer Streckung der Nebenkostennachzahlungen zugestimmt, und die Hausbank stellte bis Anfang Januar 2026 eine Ausweitung der Linie in Aussicht. Ernsthaft eingeforderte Verbindlichkeiten in dem von Ihnen unterstellten Umfang gab es nicht. Bis zum Scheitern des Bankgesprächs am 5. Januar 2026 durfte unser Mandant von einer überwindbaren Zahlungsstockung ausgehen; das außergewöhnlich starke Dezembergeschäft (Umsatz 934.000,00 EUR, bestes Monatsergebnis seit einem Jahr) bestätigte seine Erwartung.</w:t>
      </w:r>
    </w:p>
    <w:p>
      <w:pPr>
        <w:pStyle w:val="Heading2"/>
        <w:spacing w:line="259" w:lineRule="auto" w:after="60"/>
      </w:pPr>
      <w:r>
        <w:rPr>
          <w:rFonts w:ascii="Times New Roman" w:hAnsi="Times New Roman"/>
        </w:rPr>
        <w:t>2 Jedenfalls Privilegierung der Zahlungen</w:t>
      </w:r>
    </w:p>
    <w:p>
      <w:pPr>
        <w:spacing w:line="259" w:lineRule="auto" w:after="60"/>
        <w:jc w:val="left"/>
      </w:pPr>
      <w:r>
        <w:t>Sämtliche Zahlungen dienten der Aufrechterhaltung eines laufenden Gastronomiebetriebs mit 96 Arbeitsplätzen und erfolgten im ordnungsgemäßen Geschäftsgang (§ 15b Abs. 2 InsO). Ohne Löhne, Mieten und Energie wären elf Filialen binnen Tagen stillgestanden; der sofortige Zusammenbruch hätte die Masse weit stärker geschädigt als die Fortführung — die von Ihnen selbst herangezogene Wertung des § 15b Abs. 4 Satz 2 InsO. Unser Mandant betrieb zudem ernsthafte Sanierungsbemühungen: Verhandlungen mit der Hausbank über eine Linienausweitung, Gespräche mit zwei Interessenten über den Verkauf der Celler Filialen und die Beauftragung der Steuerberaterin mit einer aktualisierten Ertragsplanung.</w:t>
      </w:r>
    </w:p>
    <w:p>
      <w:pPr>
        <w:pStyle w:val="Heading2"/>
        <w:spacing w:line="259" w:lineRule="auto" w:after="60"/>
      </w:pPr>
      <w:r>
        <w:rPr>
          <w:rFonts w:ascii="Times New Roman" w:hAnsi="Times New Roman"/>
        </w:rPr>
        <w:t>3 Steuern und Sozialversicherung</w:t>
      </w:r>
    </w:p>
    <w:p>
      <w:pPr>
        <w:spacing w:line="259" w:lineRule="auto" w:after="60"/>
        <w:jc w:val="left"/>
      </w:pPr>
      <w:r>
        <w:t>Die Abführung von Lohnsteuer und Umsatzsteuer war durch § 69 AO strafbewehrt geboten; § 15b Abs. 8 InsO löst diese Pflichtenkollision zugunsten unseres Mandanten. Gleiches gilt über § 266a StGB für die Sozialversicherungsbeiträge insgesamt, nicht nur für die Arbeitnehmeranteile.</w:t>
      </w:r>
    </w:p>
    <w:p>
      <w:pPr>
        <w:pStyle w:val="Heading2"/>
        <w:spacing w:line="259" w:lineRule="auto" w:after="60"/>
      </w:pPr>
      <w:r>
        <w:rPr>
          <w:rFonts w:ascii="Times New Roman" w:hAnsi="Times New Roman"/>
        </w:rPr>
        <w:t>4 Beraterhonorar</w:t>
      </w:r>
    </w:p>
    <w:p>
      <w:pPr>
        <w:spacing w:line="259" w:lineRule="auto" w:after="60"/>
        <w:jc w:val="left"/>
      </w:pPr>
      <w:r>
        <w:t>Der Beratervertrag besteht seit Januar 2023 und wurde durchgehend gelebt; die Vergütung ist marktüblich. Dass Beratungsleistungen des Alleingesellschafters einer Familiengesellschaft nicht in förmlichen Protokollen dokumentiert werden, entspricht der Lebenswirklichkeit. § 15b Abs. 5 InsO ist nicht einschlägig, weil die monatlichen Zahlungen die Zahlungsfähigkeit der Gesellschaft nicht beeinträchtigen konnten.</w:t>
      </w:r>
    </w:p>
    <w:p>
      <w:pPr>
        <w:pStyle w:val="Heading2"/>
        <w:spacing w:line="259" w:lineRule="auto" w:after="60"/>
      </w:pPr>
      <w:r>
        <w:rPr>
          <w:rFonts w:ascii="Times New Roman" w:hAnsi="Times New Roman"/>
        </w:rPr>
        <w:t>5 Ergebnis</w:t>
      </w:r>
    </w:p>
    <w:p>
      <w:pPr>
        <w:spacing w:line="259" w:lineRule="auto" w:after="60"/>
        <w:jc w:val="left"/>
      </w:pPr>
      <w:r>
        <w:t>Wir empfehlen unserem Mandanten nicht, Zahlungen zu leisten. Die Deckungsanfrage beim D&amp;O-Versicherer läuft; wir regen an, die Dreiwochenfrist bis zu dessen Entscheidung stillschweigend zu verlängern. Für ein Gespräch über eine Gesamtlösung — auch unter Einbeziehung der Versicherung — stehen wir zur Verfügung.</w:t>
      </w:r>
    </w:p>
    <w:p>
      <w:pPr>
        <w:spacing w:line="259" w:lineRule="auto" w:after="60"/>
        <w:jc w:val="left"/>
      </w:pPr>
      <w:r>
        <w:t>Mit freundlichen kollegialen Grüßen</w:t>
      </w:r>
    </w:p>
    <w:p>
      <w:pPr>
        <w:spacing w:line="259" w:lineRule="auto" w:after="60"/>
        <w:jc w:val="left"/>
      </w:pPr>
      <w:r>
        <w:t>Dr. Cornelius Lohgerber</w:t>
      </w:r>
    </w:p>
    <w:p>
      <w:pPr>
        <w:spacing w:line="259" w:lineRule="auto" w:after="60"/>
        <w:jc w:val="left"/>
      </w:pPr>
      <w:r>
        <w:t>Rechtsanwalt, Fachanwalt für Handels- und Gesellschaftsrecht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