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Replik der Insolvenzverwalterin</w:t>
      </w:r>
    </w:p>
    <w:p>
      <w:pPr>
        <w:spacing w:line="259" w:lineRule="auto" w:after="60"/>
        <w:jc w:val="left"/>
      </w:pPr>
      <w:r>
        <w:rPr>
          <w:b/>
        </w:rPr>
        <w:t>Dr. Wittkopp Insolvenzverwaltung</w:t>
      </w:r>
      <w:r>
        <w:t xml:space="preserve"> · Rechtsanwältin Dr. Henrike Wittkopp · Georgstraße 24 · 30159 Hannover · Telefon 0511 44210-0</w:t>
      </w:r>
    </w:p>
    <w:p>
      <w:pPr>
        <w:spacing w:before="120" w:after="60" w:line="259" w:lineRule="auto"/>
        <w:jc w:val="left"/>
      </w:pPr>
      <w:r>
        <w:rPr>
          <w:rFonts w:ascii="Times New Roman" w:hAnsi="Times New Roman"/>
          <w:b/>
          <w:sz w:val="22"/>
        </w:rPr>
        <w:t>Unser Zeichen: 114/26 HW · Ihr Zeichen: 2026/0912 LV/km</w:t>
      </w:r>
    </w:p>
    <w:p>
      <w:pPr>
        <w:spacing w:before="120" w:after="60" w:line="259" w:lineRule="auto"/>
        <w:jc w:val="left"/>
      </w:pPr>
      <w:r>
        <w:rPr>
          <w:rFonts w:ascii="Times New Roman" w:hAnsi="Times New Roman"/>
          <w:b/>
          <w:sz w:val="22"/>
        </w:rPr>
        <w:t>Hannover, den 3. Juli 2026</w:t>
      </w:r>
    </w:p>
    <w:p>
      <w:pPr>
        <w:spacing w:before="120" w:after="60" w:line="259" w:lineRule="auto"/>
        <w:jc w:val="left"/>
      </w:pPr>
      <w:r>
        <w:rPr>
          <w:rFonts w:ascii="Times New Roman" w:hAnsi="Times New Roman"/>
          <w:b/>
          <w:sz w:val="22"/>
        </w:rPr>
        <w:t>Vorab per beA</w:t>
      </w:r>
    </w:p>
    <w:p>
      <w:pPr>
        <w:spacing w:before="120" w:after="60" w:line="259" w:lineRule="auto"/>
        <w:jc w:val="left"/>
      </w:pPr>
      <w:r>
        <w:rPr>
          <w:rFonts w:ascii="Times New Roman" w:hAnsi="Times New Roman"/>
          <w:b/>
          <w:sz w:val="22"/>
        </w:rPr>
        <w:t>**Lohgerber Voss Rechtsanwälte PartG mbB</w:t>
      </w:r>
    </w:p>
    <w:p>
      <w:pPr>
        <w:spacing w:before="120" w:after="60" w:line="259" w:lineRule="auto"/>
        <w:jc w:val="left"/>
      </w:pPr>
      <w:r>
        <w:rPr>
          <w:rFonts w:ascii="Times New Roman" w:hAnsi="Times New Roman"/>
          <w:b/>
          <w:sz w:val="22"/>
        </w:rPr>
        <w:t>Herrn Rechtsanwalt Dr. Cornelius Lohgerber</w:t>
      </w:r>
    </w:p>
    <w:p>
      <w:pPr>
        <w:spacing w:before="120" w:after="60" w:line="259" w:lineRule="auto"/>
        <w:jc w:val="left"/>
      </w:pPr>
      <w:r>
        <w:rPr>
          <w:rFonts w:ascii="Times New Roman" w:hAnsi="Times New Roman"/>
          <w:b/>
          <w:sz w:val="22"/>
        </w:rPr>
        <w:t>Schiffgraben 41</w:t>
      </w:r>
    </w:p>
    <w:p>
      <w:pPr>
        <w:spacing w:line="259" w:lineRule="auto" w:after="60"/>
        <w:jc w:val="left"/>
      </w:pPr>
      <w:r>
        <w:t>30175 Hannover**</w:t>
      </w:r>
    </w:p>
    <w:p>
      <w:pPr>
        <w:spacing w:line="259" w:lineRule="auto" w:after="60"/>
        <w:jc w:val="left"/>
      </w:pPr>
      <w:r>
        <w:rPr>
          <w:b/>
        </w:rPr>
        <w:t>Betreff: Nordlicht Systemgastronomie GmbH (AG Hannover, 902 IN 388/26) — Ihre Erwiderung vom 24. Juni 2026; Fristverlängerung; Vertiefung</w:t>
      </w:r>
    </w:p>
    <w:p>
      <w:pPr>
        <w:spacing w:line="259" w:lineRule="auto" w:after="60"/>
        <w:jc w:val="left"/>
      </w:pPr>
      <w:r>
        <w:t>Sehr geehrter Herr Kollege Dr. Lohgerber,</w:t>
      </w:r>
    </w:p>
    <w:p>
      <w:pPr>
        <w:spacing w:line="259" w:lineRule="auto" w:after="60"/>
        <w:jc w:val="left"/>
      </w:pPr>
      <w:r>
        <w:t xml:space="preserve">die Zahlungsfrist verlängere ich mit Blick auf die laufende Deckungsprüfung bis zum </w:t>
      </w:r>
      <w:r>
        <w:rPr>
          <w:b/>
        </w:rPr>
        <w:t>24. Juli 2026</w:t>
      </w:r>
      <w:r>
        <w:t>. In der Sache bleibt es bei meiner Bewertung.</w:t>
      </w:r>
    </w:p>
    <w:p>
      <w:pPr>
        <w:pStyle w:val="Heading2"/>
        <w:spacing w:line="259" w:lineRule="auto" w:after="60"/>
      </w:pPr>
      <w:r>
        <w:rPr>
          <w:rFonts w:ascii="Times New Roman" w:hAnsi="Times New Roman"/>
        </w:rPr>
        <w:t>1 Zur Zahlungsunfähigkeit</w:t>
      </w:r>
    </w:p>
    <w:p>
      <w:pPr>
        <w:spacing w:line="259" w:lineRule="auto" w:after="60"/>
        <w:jc w:val="left"/>
      </w:pPr>
      <w:r>
        <w:t>1.1 Die behaupteten Stundungen tragen nicht. Für die angeblich rollierenden 90-Tage-Ziele des Lieferanten Gastroquell existiert keine Vereinbarung; die vorliegenden Mahnungen der Monate Juni bis November 2025 (zweite und dritte Mahnstufe, Lieferstopp-Androhung vom 17. November 2025) belegen das Gegenteil ernsthaften Einforderns. Die Vermieterin der Braunschweiger Filialen hat lediglich eine Nebenkostennachzahlung von 18.400,00 EUR gestreckt — bei monatlichen Gesamtmieten von 118.000,00 EUR ohne Gewicht. Eine bloß in Aussicht gestellte, nie zugesagte Linienausweitung ist kein liquides Mittel zweiter Stufe.</w:t>
      </w:r>
    </w:p>
    <w:p>
      <w:pPr>
        <w:spacing w:line="259" w:lineRule="auto" w:after="60"/>
        <w:jc w:val="left"/>
      </w:pPr>
      <w:r>
        <w:t>1.2 Auf das Dezembergeschäft kommt es nicht an: Auch der beste Monat des Jahres 2025 erwirtschaftete ein negatives Ergebnis (minus 34.000,00 EUR) und ließ die fälligen Verbindlichkeiten weiter von 902.000,00 EUR auf 967.000,00 EUR anwachsen. Die Hoffnung auf ein gutes Weihnachtsgeschäft war keine begründete Aussicht auf Beseitigung einer seit Mai 2025 zweistelligen und stetig wachsenden Lücke.</w:t>
      </w:r>
    </w:p>
    <w:p>
      <w:pPr>
        <w:pStyle w:val="Heading2"/>
        <w:spacing w:line="259" w:lineRule="auto" w:after="60"/>
      </w:pPr>
      <w:r>
        <w:rPr>
          <w:rFonts w:ascii="Times New Roman" w:hAnsi="Times New Roman"/>
        </w:rPr>
        <w:t>2 Zur Privilegierung</w:t>
      </w:r>
    </w:p>
    <w:p>
      <w:pPr>
        <w:spacing w:line="259" w:lineRule="auto" w:after="60"/>
        <w:jc w:val="left"/>
      </w:pPr>
      <w:r>
        <w:t xml:space="preserve">2.1 § 15b Abs. 2 Satz 1 InsO privilegiert Zahlungen im ordnungsgemäßen Geschäftsgang nur, </w:t>
      </w:r>
      <w:r>
        <w:rPr>
          <w:b/>
        </w:rPr>
        <w:t>solange</w:t>
      </w:r>
      <w:r>
        <w:t xml:space="preserve"> die Antragsfrist läuft und der Geschäftsführer sie zur Sanierung oder Antragsvorbereitung nutzt. Ihr Mandant hat weder das eine noch das andere getan: Es gab kein Konzept, keinen Berater, keinen Entwurf eines Antrags — nur die Fortsetzung des Betriebs in unveränderter Form über mehr als drei Monate nach Fristablauf. „Sanierungsbemühungen" im Sinne der Norm sind zielgerichtete, dokumentierte Maßnahmen, nicht das Führen von Gesprächen, deren einziges dokumentiertes Ergebnis die Absage der Bank vom 5. Januar 2026 ist.</w:t>
      </w:r>
    </w:p>
    <w:p>
      <w:pPr>
        <w:spacing w:line="259" w:lineRule="auto" w:after="60"/>
        <w:jc w:val="left"/>
      </w:pPr>
      <w:r>
        <w:t xml:space="preserve">2.2 Das Fortführungsargument verkehrt § 15b Abs. 4 Satz 2 InsO in sein Gegenteil. Die Vorschrift erlaubt den Nachweis eines </w:t>
      </w:r>
      <w:r>
        <w:rPr>
          <w:b/>
        </w:rPr>
        <w:t>geringeren</w:t>
      </w:r>
      <w:r>
        <w:t xml:space="preserve"> Gesamtschadens der Gläubigerschaft; sie erlaubt nicht, monatelange masseverzehrende Verlustfortführung (Monatsergebnisse zwischen minus 34.000,00 und minus 81.000,00 EUR) als Masseschonung auszugeben. Wer mit dem Argument der Arbeitsplatzerhaltung fortführt, führt für die Gläubiger fort — das war hier nachweislich nicht der Fall.</w:t>
      </w:r>
    </w:p>
    <w:p>
      <w:pPr>
        <w:spacing w:line="259" w:lineRule="auto" w:after="60"/>
        <w:jc w:val="left"/>
      </w:pPr>
      <w:r>
        <w:t>2.3 Anerkannt habe ich bereits, was anzuerkennen war: Zug-um-Zug-Wareneinkauf, Energie- und Versicherungszahlungen zur Schadensabwendung, Arbeitnehmeranteile wegen § 266a StGB. Für die Arbeitgeberanteile besteht keine Strafbewehrung; für Nettolöhne, Mieten und Leasing gibt es nach Ablauf der Antragsfrist keine Privilegierung.</w:t>
      </w:r>
    </w:p>
    <w:p>
      <w:pPr>
        <w:pStyle w:val="Heading2"/>
        <w:spacing w:line="259" w:lineRule="auto" w:after="60"/>
      </w:pPr>
      <w:r>
        <w:rPr>
          <w:rFonts w:ascii="Times New Roman" w:hAnsi="Times New Roman"/>
        </w:rPr>
        <w:t>3 Zu den Steuerzahlungen</w:t>
      </w:r>
    </w:p>
    <w:p>
      <w:pPr>
        <w:spacing w:line="259" w:lineRule="auto" w:after="60"/>
        <w:jc w:val="left"/>
      </w:pPr>
      <w:r>
        <w:t xml:space="preserve">§ 15b Abs. 8 Satz 1 InsO setzt tatbestandlich voraus, dass die Antragspflicht </w:t>
      </w:r>
      <w:r>
        <w:rPr>
          <w:b/>
        </w:rPr>
        <w:t>nicht verletzt</w:t>
      </w:r>
      <w:r>
        <w:t xml:space="preserve"> ist — sei es, weil die Frist noch läuft, sei es, weil rechtzeitig Antrag gestellt wurde. Ihr Mandant hat die Frist um mehr als drei Monate überschritten; sämtliche Steuerzahlungen datieren nach dem 13. Oktober 2025. Die Pflichtenkollision, die Abs. 8 auflöst, bestand zu diesem Zeitpunkt nicht mehr zugunsten der Steuerzahlung: Wer antragspflichtwidrig fortführt, kann sich auf die von ihm selbst herbeigeführte Kollision nicht berufen. § 69 AO schützt den Fiskus, nicht den Geschäftsführer gegenüber der Masse.</w:t>
      </w:r>
    </w:p>
    <w:p>
      <w:pPr>
        <w:pStyle w:val="Heading2"/>
        <w:spacing w:line="259" w:lineRule="auto" w:after="60"/>
      </w:pPr>
      <w:r>
        <w:rPr>
          <w:rFonts w:ascii="Times New Roman" w:hAnsi="Times New Roman"/>
        </w:rPr>
        <w:t>4 Zum Beraterhonorar</w:t>
      </w:r>
    </w:p>
    <w:p>
      <w:pPr>
        <w:spacing w:line="259" w:lineRule="auto" w:after="60"/>
        <w:jc w:val="left"/>
      </w:pPr>
      <w:r>
        <w:t xml:space="preserve">Ob die Vergütung marktüblich wäre, ist unerheblich, solange nicht dargelegt ist, </w:t>
      </w:r>
      <w:r>
        <w:rPr>
          <w:b/>
        </w:rPr>
        <w:t>welche Leistungen</w:t>
      </w:r>
      <w:r>
        <w:t xml:space="preserve"> ihr gegenüberstanden; die Buchhaltung Ihrer eigenen Mandantschaft fand keine. § 15b Abs. 5 InsO verlangt im Übrigen nicht, dass die einzelne Zahlung für sich die Zahlungsunfähigkeit herbeiführt; es genügt, dass die Zahlungen an die Gesellschafterin in der Krise deren Vertiefung bewirken mussten — bei 12.000,00 EUR monatlich gegen null dokumentierte Gegenleistung liegt das auf der Hand. Vorsorglich erkläre ich wegen dieser Zahlungen zugleich die Anfechtung gegenüber der Ohlendorf Beteiligungs-UG nach § 135 Abs. 1 Nr. 2, § 134 InsO; dies wird gesondert verfolgt.</w:t>
      </w:r>
    </w:p>
    <w:p>
      <w:pPr>
        <w:pStyle w:val="Heading2"/>
        <w:spacing w:line="259" w:lineRule="auto" w:after="60"/>
      </w:pPr>
      <w:r>
        <w:rPr>
          <w:rFonts w:ascii="Times New Roman" w:hAnsi="Times New Roman"/>
        </w:rPr>
        <w:t>5 Weiteres Vorgehen</w:t>
      </w:r>
    </w:p>
    <w:p>
      <w:pPr>
        <w:spacing w:line="259" w:lineRule="auto" w:after="60"/>
        <w:jc w:val="left"/>
      </w:pPr>
      <w:r>
        <w:t>Sollte bis zum 24. Juli 2026 weder Zahlung noch ein substantiiertes Vergleichsangebot unter Beteiligung des Versicherers vorliegen, erhebe ich Klage vor dem Landgericht Hannover. Den Einzelnachweis geringerer Masseschmälerung je Zahlungsposition (§ 15b Abs. 4 Satz 2 InsO) sehe ich einem etwaigen Klageverfahren entgegen; die Darlegungs- und Beweislast liegt bei Ihrem Mandanten.</w:t>
      </w:r>
    </w:p>
    <w:p>
      <w:pPr>
        <w:spacing w:line="259" w:lineRule="auto" w:after="60"/>
        <w:jc w:val="left"/>
      </w:pPr>
      <w:r>
        <w:t>Mit freundlichen kollegialen Grüßen</w:t>
      </w:r>
    </w:p>
    <w:p>
      <w:pPr>
        <w:spacing w:line="259" w:lineRule="auto" w:after="60"/>
        <w:jc w:val="left"/>
      </w:pPr>
      <w:r>
        <w:t>Dr. Henrike Wittkopp</w:t>
      </w:r>
    </w:p>
    <w:p>
      <w:pPr>
        <w:spacing w:line="259" w:lineRule="auto" w:after="60"/>
        <w:jc w:val="left"/>
      </w:pPr>
      <w:r>
        <w:t>Rechtsanwältin, Insolvenzverwalterin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