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Prüfvermerk Sacheinlage Domain und Code-Repository</w:t>
      </w:r>
    </w:p>
    <w:p>
      <w:pPr>
        <w:spacing w:line="259" w:lineRule="auto" w:after="60"/>
        <w:jc w:val="left"/>
      </w:pPr>
      <w:r>
        <w:t>Verfasser: Dr. Aylin Soeren, vorgesehene Geschäftsführerin, in Abstimmung mit Steuerberater Theo Eichbaum</w:t>
      </w:r>
    </w:p>
    <w:p>
      <w:pPr>
        <w:spacing w:before="120" w:after="60" w:line="259" w:lineRule="auto"/>
        <w:jc w:val="left"/>
      </w:pPr>
      <w:r>
        <w:rPr>
          <w:rFonts w:ascii="Times New Roman" w:hAnsi="Times New Roman"/>
          <w:b w:val="0"/>
          <w:i w:val="0"/>
          <w:sz w:val="22"/>
        </w:rPr>
        <w:t>Datum: 14.05.2026</w:t>
      </w:r>
    </w:p>
    <w:p>
      <w:pPr>
        <w:spacing w:before="120" w:after="60" w:line="259" w:lineRule="auto"/>
        <w:jc w:val="left"/>
      </w:pPr>
      <w:r>
        <w:rPr>
          <w:rFonts w:ascii="Times New Roman" w:hAnsi="Times New Roman"/>
          <w:b/>
          <w:sz w:val="22"/>
        </w:rPr>
        <w:t>Adressaten: Jonas Kreutzberger, Mira Holzbach</w:t>
      </w:r>
    </w:p>
    <w:p>
      <w:pPr>
        <w:pStyle w:val="Heading2"/>
        <w:spacing w:before="120" w:after="60" w:line="259" w:lineRule="auto"/>
      </w:pPr>
      <w:r>
        <w:rPr>
          <w:rFonts w:ascii="Times New Roman" w:hAnsi="Times New Roman"/>
          <w:b/>
          <w:sz w:val="22"/>
        </w:rPr>
        <w:t>1. Ausgangsfrage</w:t>
      </w:r>
    </w:p>
    <w:p>
      <w:pPr>
        <w:spacing w:line="259" w:lineRule="auto" w:after="60"/>
        <w:jc w:val="left"/>
      </w:pPr>
      <w:r>
        <w:t xml:space="preserve">Kann Mira Holzbach einen Teil ihrer Stammeinlage durch Einbringung der Domain </w:t>
      </w:r>
      <w:r>
        <w:rPr>
          <w:b/>
        </w:rPr>
        <w:t>neurochain.io</w:t>
      </w:r>
      <w:r>
        <w:t xml:space="preserve"> und des Code-Repositorys </w:t>
      </w:r>
      <w:r>
        <w:rPr>
          <w:b/>
        </w:rPr>
        <w:t>"agent-mesh-protocol"</w:t>
      </w:r>
      <w:r>
        <w:t xml:space="preserve"> (Version 0.4.x, Stand 15.05.2026) als Sacheinlage in die Gesellschaft erbringen, statt die volle Bareinlage zu leisten?</w:t>
      </w:r>
    </w:p>
    <w:p>
      <w:pPr>
        <w:pStyle w:val="Heading2"/>
        <w:spacing w:before="120" w:after="60" w:line="259" w:lineRule="auto"/>
      </w:pPr>
      <w:r>
        <w:rPr>
          <w:rFonts w:ascii="Times New Roman" w:hAnsi="Times New Roman"/>
          <w:b/>
          <w:sz w:val="22"/>
        </w:rPr>
        <w:t>2. Rechtlicher Rahmen</w:t>
      </w:r>
    </w:p>
    <w:p>
      <w:pPr>
        <w:pStyle w:val="Heading3"/>
        <w:spacing w:before="120" w:after="60" w:line="259" w:lineRule="auto"/>
      </w:pPr>
      <w:r>
        <w:rPr>
          <w:rFonts w:ascii="Times New Roman" w:hAnsi="Times New Roman"/>
          <w:b/>
          <w:sz w:val="22"/>
        </w:rPr>
        <w:t>2.1 Sacheinlage nach GmbHG</w:t>
      </w:r>
    </w:p>
    <w:p>
      <w:pPr>
        <w:pStyle w:val="ListBullet"/>
        <w:spacing w:line="259" w:lineRule="auto" w:after="60"/>
      </w:pPr>
      <w:r>
        <w:t>Paragraph 5 Absatz 4 GmbHG: Sacheinlagen sind zulässig, müssen aber im Gesellschaftsvertrag bezeichnet werden, einschließlich des Gegenstands und des Nennbetrags des Geschäftsanteils, auf den die Sacheinlage geleistet wird.</w:t>
      </w:r>
    </w:p>
    <w:p>
      <w:pPr>
        <w:pStyle w:val="ListBullet"/>
        <w:spacing w:line="259" w:lineRule="auto" w:after="60"/>
      </w:pPr>
      <w:r>
        <w:t>Paragraph 8 Absatz 1 Nummer 5 GmbHG: Sachgründungsbericht ist erforderlich.</w:t>
      </w:r>
    </w:p>
    <w:p>
      <w:pPr>
        <w:pStyle w:val="ListBullet"/>
        <w:spacing w:line="259" w:lineRule="auto" w:after="60"/>
      </w:pPr>
      <w:r>
        <w:t>Paragraph 9 GmbHG: Differenzhaftung des Sacheinlegers, wenn der Wert der Sacheinlage zum Zeitpunkt der Anmeldung den Nennbetrag des dafür zu übernehmenden Geschäftsanteils nicht erreicht.</w:t>
      </w:r>
    </w:p>
    <w:p>
      <w:pPr>
        <w:pStyle w:val="Heading3"/>
        <w:spacing w:line="259" w:lineRule="auto" w:after="60"/>
      </w:pPr>
      <w:r>
        <w:rPr>
          <w:rFonts w:ascii="Times New Roman" w:hAnsi="Times New Roman"/>
        </w:rPr>
        <w:t>2.2 Verdeckte Sacheinlage Paragraph 19 Absatz 4 GmbHG</w:t>
      </w:r>
    </w:p>
    <w:p>
      <w:pPr>
        <w:spacing w:line="259" w:lineRule="auto" w:after="60"/>
        <w:jc w:val="left"/>
      </w:pPr>
      <w:r>
        <w:t>Wenn eine Bareinlage vereinbart, tatsächlich aber wirtschaftlich eine Sacheinlage gewollt ist, liegt eine verdeckte Sacheinlage vor. Folge:</w:t>
      </w:r>
    </w:p>
    <w:p>
      <w:pPr>
        <w:pStyle w:val="ListBullet"/>
        <w:spacing w:line="259" w:lineRule="auto" w:after="60"/>
      </w:pPr>
      <w:r>
        <w:t xml:space="preserve">Die Bareinlageschuld erlischt </w:t>
      </w:r>
      <w:r>
        <w:rPr>
          <w:b/>
        </w:rPr>
        <w:t>nicht</w:t>
      </w:r>
      <w:r>
        <w:t xml:space="preserve"> durch die Leistung.</w:t>
      </w:r>
    </w:p>
    <w:p>
      <w:pPr>
        <w:pStyle w:val="ListBullet"/>
        <w:spacing w:line="259" w:lineRule="auto" w:after="60"/>
      </w:pPr>
      <w:r>
        <w:t>Es findet eine Anrechnung des Werts der eingebrachten Sache zum Zeitpunkt der Anmeldung statt.</w:t>
      </w:r>
    </w:p>
    <w:p>
      <w:pPr>
        <w:pStyle w:val="ListBullet"/>
        <w:spacing w:line="259" w:lineRule="auto" w:after="60"/>
      </w:pPr>
      <w:r>
        <w:t>Der Sacheinleger bleibt in Höhe der Differenz weiter zur Leistung der Bareinlage verpflichtet.</w:t>
      </w:r>
    </w:p>
    <w:p>
      <w:pPr>
        <w:spacing w:line="259" w:lineRule="auto" w:after="60"/>
        <w:jc w:val="left"/>
      </w:pPr>
      <w:r>
        <w:t>Risiko: Wenn Mira die Domain bereits jetzt der Gesellschaft (in Gründung) faktisch zur Verfügung stellt und nach Eintragung als Bareinlage 3.500 EUR einzahlt, kann das Finanzamt oder ein späterer Insolvenzverwalter argumentieren, hier sei wirtschaftlich eine Sacheinlage gewollt gewesen, die als Bareinlage verkleidet wurde.</w:t>
      </w:r>
    </w:p>
    <w:p>
      <w:pPr>
        <w:pStyle w:val="Heading3"/>
        <w:spacing w:line="259" w:lineRule="auto" w:after="60"/>
      </w:pPr>
      <w:r>
        <w:rPr>
          <w:rFonts w:ascii="Times New Roman" w:hAnsi="Times New Roman"/>
        </w:rPr>
        <w:t>2.3 Verdeckte Gewinnausschüttung</w:t>
      </w:r>
    </w:p>
    <w:p>
      <w:pPr>
        <w:spacing w:line="259" w:lineRule="auto" w:after="60"/>
        <w:jc w:val="left"/>
      </w:pPr>
      <w:r>
        <w:t>Sollte die Gesellschaft nach Eintragung die Domain oder das Repository von Mira zu einem überhöhten Preis erwerben, kommt eine verdeckte Gewinnausschüttung (vGA) in Betracht. Folge: körperschaftsteuerliche Hinzurechnung auf Ebene der Gesellschaft, Behandlung als Kapitalertrag auf Ebene Miras.</w:t>
      </w:r>
    </w:p>
    <w:p>
      <w:pPr>
        <w:pStyle w:val="Heading2"/>
        <w:spacing w:line="259" w:lineRule="auto" w:after="60"/>
      </w:pPr>
      <w:r>
        <w:rPr>
          <w:rFonts w:ascii="Times New Roman" w:hAnsi="Times New Roman"/>
        </w:rPr>
        <w:t>3. Bewertung Domain und Repository</w:t>
      </w:r>
    </w:p>
    <w:p>
      <w:pPr>
        <w:pStyle w:val="Heading3"/>
        <w:spacing w:line="259" w:lineRule="auto" w:after="60"/>
      </w:pPr>
      <w:r>
        <w:rPr>
          <w:rFonts w:ascii="Times New Roman" w:hAnsi="Times New Roman"/>
        </w:rPr>
        <w:t>3.1 Domain neurochain.io</w:t>
      </w:r>
    </w:p>
    <w:p>
      <w:pPr>
        <w:pStyle w:val="ListBullet"/>
        <w:spacing w:line="259" w:lineRule="auto" w:after="60"/>
      </w:pPr>
      <w:r>
        <w:t>Domain ist seit 2024 auf Mira Holzbach registriert.</w:t>
      </w:r>
    </w:p>
    <w:p>
      <w:pPr>
        <w:pStyle w:val="ListBullet"/>
        <w:spacing w:line="259" w:lineRule="auto" w:after="60"/>
      </w:pPr>
      <w:r>
        <w:t>Marktwert nach Recherche (Sedo, GoDaddy Domain-Appraisals): zwischen 800 und 3.500 EUR. Spannweite groß, abhängig von Käuferinteresse.</w:t>
      </w:r>
    </w:p>
    <w:p>
      <w:pPr>
        <w:pStyle w:val="ListBullet"/>
        <w:spacing w:line="259" w:lineRule="auto" w:after="60"/>
      </w:pPr>
      <w:r>
        <w:t>Ein offizielles Wertgutachten ist nicht vorhanden.</w:t>
      </w:r>
    </w:p>
    <w:p>
      <w:pPr>
        <w:pStyle w:val="Heading3"/>
        <w:spacing w:line="259" w:lineRule="auto" w:after="60"/>
      </w:pPr>
      <w:r>
        <w:rPr>
          <w:rFonts w:ascii="Times New Roman" w:hAnsi="Times New Roman"/>
        </w:rPr>
        <w:t>3.2 Code-Repository "agent-mesh-protocol"</w:t>
      </w:r>
    </w:p>
    <w:p>
      <w:pPr>
        <w:pStyle w:val="ListBullet"/>
        <w:spacing w:line="259" w:lineRule="auto" w:after="60"/>
      </w:pPr>
      <w:r>
        <w:t>ca. 12.000 Codezeilen, hauptsächlich Python und Solidity.</w:t>
      </w:r>
    </w:p>
    <w:p>
      <w:pPr>
        <w:pStyle w:val="ListBullet"/>
        <w:spacing w:line="259" w:lineRule="auto" w:after="60"/>
      </w:pPr>
      <w:r>
        <w:t>Entwicklung seit Januar 2025 durch Mira mit Beiträgen von Jonas.</w:t>
      </w:r>
    </w:p>
    <w:p>
      <w:pPr>
        <w:pStyle w:val="ListBullet"/>
        <w:spacing w:line="259" w:lineRule="auto" w:after="60"/>
      </w:pPr>
      <w:r>
        <w:t>Lizenzierung: bisher nicht festgelegt. Kein offizielles Open-Source-Statement.</w:t>
      </w:r>
    </w:p>
    <w:p>
      <w:pPr>
        <w:pStyle w:val="ListBullet"/>
        <w:spacing w:line="259" w:lineRule="auto" w:after="60"/>
      </w:pPr>
      <w:r>
        <w:t>Bewertung schwierig: Aufwandsbasierte Bewertung käme auf ca. 80 Manntage à 600 EUR = 48.000 EUR. Marktbewertung deutlich niedriger, da kein etablierter Markt für Pre-Product-Repos existiert.</w:t>
      </w:r>
    </w:p>
    <w:p>
      <w:pPr>
        <w:pStyle w:val="ListBullet"/>
        <w:spacing w:line="259" w:lineRule="auto" w:after="60"/>
      </w:pPr>
      <w:r>
        <w:t>Risiko: Wenn Jonas substantielle Beiträge geleistet hat, ist die Inhaberschaft nicht klar. Vor Einbringung wäre eine IP-Klärung mit Jonas notwendig.</w:t>
      </w:r>
    </w:p>
    <w:p>
      <w:pPr>
        <w:pStyle w:val="Heading2"/>
        <w:spacing w:line="259" w:lineRule="auto" w:after="60"/>
      </w:pPr>
      <w:r>
        <w:rPr>
          <w:rFonts w:ascii="Times New Roman" w:hAnsi="Times New Roman"/>
        </w:rPr>
        <w:t>4. Aufwand für Sachgründung</w:t>
      </w:r>
    </w:p>
    <w:p>
      <w:pPr>
        <w:pStyle w:val="ListBullet"/>
        <w:spacing w:line="259" w:lineRule="auto" w:after="60"/>
      </w:pPr>
      <w:r>
        <w:t>Sachgründungsbericht (von Mira als Sacheinlegerin)</w:t>
      </w:r>
    </w:p>
    <w:p>
      <w:pPr>
        <w:pStyle w:val="ListBullet"/>
        <w:spacing w:line="259" w:lineRule="auto" w:after="60"/>
      </w:pPr>
      <w:r>
        <w:t>Wertgutachten durch unabhängigen Sachverständigen, voraussichtlich Kosten 1.500 bis 3.000 EUR</w:t>
      </w:r>
    </w:p>
    <w:p>
      <w:pPr>
        <w:pStyle w:val="ListBullet"/>
        <w:spacing w:line="259" w:lineRule="auto" w:after="60"/>
      </w:pPr>
      <w:r>
        <w:t>Erweiterung des Gesellschaftsvertrags um die genaue Bezeichnung der Sacheinlage</w:t>
      </w:r>
    </w:p>
    <w:p>
      <w:pPr>
        <w:pStyle w:val="ListBullet"/>
        <w:spacing w:line="259" w:lineRule="auto" w:after="60"/>
      </w:pPr>
      <w:r>
        <w:t>Risiko der Differenzhaftung, wenn der gutachterlich festgestellte Wert geringer ausfällt als der Nennbetrag</w:t>
      </w:r>
    </w:p>
    <w:p>
      <w:pPr>
        <w:pStyle w:val="Heading2"/>
        <w:spacing w:line="259" w:lineRule="auto" w:after="60"/>
      </w:pPr>
      <w:r>
        <w:rPr>
          <w:rFonts w:ascii="Times New Roman" w:hAnsi="Times New Roman"/>
        </w:rPr>
        <w:t>5. Alternative: Lizenzvertrag</w:t>
      </w:r>
    </w:p>
    <w:p>
      <w:pPr>
        <w:spacing w:line="259" w:lineRule="auto" w:after="60"/>
        <w:jc w:val="left"/>
      </w:pPr>
      <w:r>
        <w:t xml:space="preserve">Mira räumt der Gesellschaft per separatem Lizenzvertrag eine </w:t>
      </w:r>
      <w:r>
        <w:rPr>
          <w:b/>
        </w:rPr>
        <w:t>unentgeltliche, einfache, übertragbare Nutzungslizenz</w:t>
      </w:r>
      <w:r>
        <w:t xml:space="preserve"> an Domain und Repository ein. Die Gesellschaft kann die Domain und das Repository ab Eintragung nutzen. Eine spätere Übertragung in das Eigentum der Gesellschaft ist gegen marktgerechten Kaufpreis möglich, frühestens zwölf Monate nach Eintragung. Vorteile:</w:t>
      </w:r>
    </w:p>
    <w:p>
      <w:pPr>
        <w:pStyle w:val="ListBullet"/>
        <w:spacing w:line="259" w:lineRule="auto" w:after="60"/>
      </w:pPr>
      <w:r>
        <w:t>keine Sacheinlage, keine Differenzhaftung, kein Sachgründungsbericht</w:t>
      </w:r>
    </w:p>
    <w:p>
      <w:pPr>
        <w:pStyle w:val="ListBullet"/>
        <w:spacing w:line="259" w:lineRule="auto" w:after="60"/>
      </w:pPr>
      <w:r>
        <w:t>keine Bewertungspflicht zum Zeitpunkt der Gründung</w:t>
      </w:r>
    </w:p>
    <w:p>
      <w:pPr>
        <w:pStyle w:val="ListBullet"/>
        <w:spacing w:line="259" w:lineRule="auto" w:after="60"/>
      </w:pPr>
      <w:r>
        <w:t>saubere Trennung zwischen Bar-Stammeinlage und Asset-Transfer</w:t>
      </w:r>
    </w:p>
    <w:p>
      <w:pPr>
        <w:pStyle w:val="ListBullet"/>
        <w:spacing w:line="259" w:lineRule="auto" w:after="60"/>
      </w:pPr>
      <w:r>
        <w:t>Möglichkeit, die Gesellschaft erst zu testen, bevor das Asset endgültig übertragen wird</w:t>
      </w:r>
    </w:p>
    <w:p>
      <w:pPr>
        <w:spacing w:line="259" w:lineRule="auto" w:after="60"/>
        <w:jc w:val="left"/>
      </w:pPr>
      <w:r>
        <w:t>Nachteile:</w:t>
      </w:r>
    </w:p>
    <w:p>
      <w:pPr>
        <w:pStyle w:val="ListBullet"/>
        <w:spacing w:line="259" w:lineRule="auto" w:after="60"/>
      </w:pPr>
      <w:r>
        <w:t>Mira bleibt formal Inhaberin und kann theoretisch kündigen (Lizenzvertrag mit Kündigungsverzicht für 36 Monate vereinbart)</w:t>
      </w:r>
    </w:p>
    <w:p>
      <w:pPr>
        <w:pStyle w:val="ListBullet"/>
        <w:spacing w:line="259" w:lineRule="auto" w:after="60"/>
      </w:pPr>
      <w:r>
        <w:t>bei späterem Erwerb muss der Kaufpreis marktgerecht sein, sonst vGA-Risiko</w:t>
      </w:r>
    </w:p>
    <w:p>
      <w:pPr>
        <w:pStyle w:val="Heading2"/>
        <w:spacing w:line="259" w:lineRule="auto" w:after="60"/>
      </w:pPr>
      <w:r>
        <w:rPr>
          <w:rFonts w:ascii="Times New Roman" w:hAnsi="Times New Roman"/>
        </w:rPr>
        <w:t>6. Entscheidung</w:t>
      </w:r>
    </w:p>
    <w:p>
      <w:pPr>
        <w:spacing w:line="259" w:lineRule="auto" w:after="60"/>
        <w:jc w:val="left"/>
      </w:pPr>
      <w:r>
        <w:rPr>
          <w:b/>
        </w:rPr>
        <w:t>Keine Sacheinlage.</w:t>
      </w:r>
      <w:r>
        <w:t xml:space="preserve"> Mira leistet eine vollständige Bareinlage in Höhe von 3.500 EUR sofort und 3.500 EUR auf Anforderung. Der Lizenzvertrag wird parallel zur Gründung unterzeichnet. Eine spätere Übertragung der Assets in das Eigentum der Gesellschaft ist optional und wird zu gegebener Zeit separat entschieden.</w:t>
      </w:r>
    </w:p>
    <w:p>
      <w:pPr>
        <w:spacing w:line="259" w:lineRule="auto" w:after="60"/>
        <w:jc w:val="left"/>
      </w:pPr>
      <w:r>
        <w:t>Aylin / Jonas / Mira haben dem Vorgehen im Workshop am 15.05.2026 zugestimmt.</w:t>
      </w:r>
    </w:p>
    <w:p>
      <w:pPr>
        <w:pStyle w:val="Heading2"/>
        <w:spacing w:line="259" w:lineRule="auto" w:after="60"/>
      </w:pPr>
      <w:r>
        <w:rPr>
          <w:rFonts w:ascii="Times New Roman" w:hAnsi="Times New Roman"/>
        </w:rPr>
        <w:t>7. Folgehinweise</w:t>
      </w:r>
    </w:p>
    <w:p>
      <w:pPr>
        <w:pStyle w:val="ListBullet"/>
        <w:spacing w:line="259" w:lineRule="auto" w:after="60"/>
      </w:pPr>
      <w:r>
        <w:t>IP-Assignment-Vereinbarungen aller drei Gründer für alle Beiträge ab Eintragung zugunsten der Gesellschaft. Damit ist klar, wem künftige Codeänderungen gehören.</w:t>
      </w:r>
    </w:p>
    <w:p>
      <w:pPr>
        <w:pStyle w:val="ListBullet"/>
        <w:spacing w:line="259" w:lineRule="auto" w:after="60"/>
      </w:pPr>
      <w:r>
        <w:t xml:space="preserve">Lizenzvertrag ist eine Datei in dieser Akte (siehe </w:t>
      </w:r>
      <w:r>
        <w:t>12_ip_assignment_open_source.md</w:t>
      </w:r>
      <w:r>
        <w:t xml:space="preserve"> in der Roeschen-Tech-Akte als Muster) und wird vor dem Notartermin von Mira übergeben.</w:t>
      </w:r>
    </w:p>
    <w:p>
      <w:pPr>
        <w:pStyle w:val="ListBullet"/>
        <w:spacing w:line="259" w:lineRule="auto" w:after="60"/>
      </w:pPr>
      <w:r>
        <w:t>Steuerberater Eichbaum hat den Lizenzvertragsentwurf gegengelesen und bestätigt, dass keine Sachverdeckung anzunehmen ist, solange die Lizenz unentgeltlich und ohne Verknüpfung mit der Einlagepflicht steht.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Hagemann &amp; Westarp Rechtsanwälte | Gesellschaftsrechtliche Arbeitsakte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