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Geschäftsführer-Bestellung, Befreiung Paragraph 181 BGB und Geschäftsführerordnung</w:t>
      </w:r>
    </w:p>
    <w:p>
      <w:pPr>
        <w:pStyle w:val="Heading2"/>
        <w:spacing w:before="120" w:after="60" w:line="259" w:lineRule="auto"/>
      </w:pPr>
      <w:r>
        <w:rPr>
          <w:rFonts w:ascii="Times New Roman" w:hAnsi="Times New Roman"/>
          <w:b/>
          <w:sz w:val="22"/>
        </w:rPr>
        <w:t>1. Bestellung der Geschäftsführerin</w:t>
      </w:r>
    </w:p>
    <w:p>
      <w:pPr>
        <w:spacing w:line="259" w:lineRule="auto" w:after="60"/>
        <w:jc w:val="left"/>
      </w:pPr>
      <w:r>
        <w:t xml:space="preserve">Mit der Gründung der NeuroChain Labs GmbH wird </w:t>
      </w:r>
      <w:r>
        <w:rPr>
          <w:b/>
        </w:rPr>
        <w:t>Dr. Aylin Soeren</w:t>
      </w:r>
      <w:r>
        <w:t xml:space="preserve"> zur einzelvertretungsberechtigten Geschäftsführerin bestellt. Die Bestellung erfolgt in der Gründungsurkunde und wird im Handelsregister eingetragen.</w:t>
      </w:r>
    </w:p>
    <w:p>
      <w:pPr>
        <w:spacing w:before="120" w:after="60" w:line="259" w:lineRule="auto"/>
        <w:jc w:val="left"/>
      </w:pPr>
      <w:r>
        <w:rPr>
          <w:rFonts w:ascii="Times New Roman" w:hAnsi="Times New Roman"/>
          <w:b/>
          <w:sz w:val="22"/>
        </w:rPr>
        <w:t>Wesentliche Eckpunkte:</w:t>
      </w:r>
    </w:p>
    <w:p>
      <w:pPr>
        <w:pStyle w:val="ListBullet"/>
        <w:spacing w:before="120" w:after="60" w:line="259" w:lineRule="auto"/>
      </w:pPr>
      <w:r>
        <w:rPr>
          <w:rFonts w:ascii="Times New Roman" w:hAnsi="Times New Roman"/>
          <w:b/>
          <w:sz w:val="22"/>
        </w:rPr>
        <w:t>Einzelvertretungsberechtigung</w:t>
      </w:r>
    </w:p>
    <w:p>
      <w:pPr>
        <w:pStyle w:val="ListBullet"/>
        <w:spacing w:before="120" w:after="60" w:line="259" w:lineRule="auto"/>
      </w:pPr>
      <w:r>
        <w:rPr>
          <w:rFonts w:ascii="Times New Roman" w:hAnsi="Times New Roman"/>
          <w:b/>
          <w:sz w:val="22"/>
        </w:rPr>
        <w:t>Befreiung von Paragraph 181 BGB (Insichgeschäft und Mehrvertretung)</w:t>
      </w:r>
    </w:p>
    <w:p>
      <w:pPr>
        <w:pStyle w:val="ListBullet"/>
        <w:spacing w:line="259" w:lineRule="auto" w:after="60"/>
      </w:pPr>
      <w:r>
        <w:t>Bestellung auf unbestimmte Zeit, Abberufung nach Paragraph 38 GmbHG durch Beschluss der Gesellschafterversammlung</w:t>
      </w:r>
    </w:p>
    <w:p>
      <w:pPr>
        <w:pStyle w:val="ListBullet"/>
        <w:spacing w:line="259" w:lineRule="auto" w:after="60"/>
      </w:pPr>
      <w:r>
        <w:t>separater Geschäftsführerdienstvertrag, Inhalt und Vergütung nicht Teil der Satzung</w:t>
      </w:r>
    </w:p>
    <w:p>
      <w:pPr>
        <w:pStyle w:val="Heading2"/>
        <w:spacing w:line="259" w:lineRule="auto" w:after="60"/>
      </w:pPr>
      <w:r>
        <w:rPr>
          <w:rFonts w:ascii="Times New Roman" w:hAnsi="Times New Roman"/>
        </w:rPr>
        <w:t>2. Warum Befreiung von Paragraph 181 BGB</w:t>
      </w:r>
    </w:p>
    <w:p>
      <w:pPr>
        <w:spacing w:line="259" w:lineRule="auto" w:after="60"/>
        <w:jc w:val="left"/>
      </w:pPr>
      <w:r>
        <w:t>Paragraph 181 BGB verbietet einer Vertreterin, im Namen der Vertretenen ein Rechtsgeschäft mit sich selbst oder als Vertreterin einer anderen Person abzuschließen. Ohne Befreiung wäre jedes Insichgeschäft schwebend unwirksam.</w:t>
      </w:r>
    </w:p>
    <w:p>
      <w:pPr>
        <w:spacing w:line="259" w:lineRule="auto" w:after="60"/>
        <w:jc w:val="left"/>
      </w:pPr>
      <w:r>
        <w:t>In unserer Konstellation ist die Geschäftsführerin Aylin gleichzeitig Gesellschafterin mit 36 Prozent (vor Pfaffenrode-Investment). Sie muss in der Lage sein:</w:t>
      </w:r>
    </w:p>
    <w:p>
      <w:pPr>
        <w:pStyle w:val="ListBullet"/>
        <w:spacing w:line="259" w:lineRule="auto" w:after="60"/>
      </w:pPr>
      <w:r>
        <w:t>ihren eigenen Geschäftsführerdienstvertrag mit der Gesellschaft abzuschließen</w:t>
      </w:r>
    </w:p>
    <w:p>
      <w:pPr>
        <w:pStyle w:val="ListBullet"/>
        <w:spacing w:line="259" w:lineRule="auto" w:after="60"/>
      </w:pPr>
      <w:r>
        <w:t>als Geschäftsführerin Verträge zwischen der Gesellschaft und ihr selbst (z.B. Auslagenerstattung, Spesen) abzuschließen</w:t>
      </w:r>
    </w:p>
    <w:p>
      <w:pPr>
        <w:pStyle w:val="ListBullet"/>
        <w:spacing w:line="259" w:lineRule="auto" w:after="60"/>
      </w:pPr>
      <w:r>
        <w:t>als Geschäftsführerin Verträge zwischen der Gesellschaft und Unternehmen, an denen sie beteiligt ist, abzuschließen</w:t>
      </w:r>
    </w:p>
    <w:p>
      <w:pPr>
        <w:spacing w:line="259" w:lineRule="auto" w:after="60"/>
        <w:jc w:val="left"/>
      </w:pPr>
      <w:r>
        <w:t>Ohne Befreiung wäre jeder dieser Verträge anfechtbar oder schwebend unwirksam, bis eine ausdrückliche Genehmigung durch die Gesellschafterversammlung vorliegt. Das ist im operativen Geschäft impraktikabel.</w:t>
      </w:r>
    </w:p>
    <w:p>
      <w:pPr>
        <w:pStyle w:val="Heading2"/>
        <w:spacing w:line="259" w:lineRule="auto" w:after="60"/>
      </w:pPr>
      <w:r>
        <w:rPr>
          <w:rFonts w:ascii="Times New Roman" w:hAnsi="Times New Roman"/>
        </w:rPr>
        <w:t>3. Grenzen der Befreiung</w:t>
      </w:r>
    </w:p>
    <w:p>
      <w:pPr>
        <w:spacing w:line="259" w:lineRule="auto" w:after="60"/>
        <w:jc w:val="left"/>
      </w:pPr>
      <w:r>
        <w:t xml:space="preserve">Die Befreiung von Paragraph 181 BGB schließt </w:t>
      </w:r>
      <w:r>
        <w:rPr>
          <w:b/>
        </w:rPr>
        <w:t>nicht</w:t>
      </w:r>
      <w:r>
        <w:t xml:space="preserve"> aus:</w:t>
      </w:r>
    </w:p>
    <w:p>
      <w:pPr>
        <w:pStyle w:val="ListBullet"/>
        <w:spacing w:line="259" w:lineRule="auto" w:after="60"/>
      </w:pPr>
      <w:r>
        <w:t>Treuepflichten gegenüber der Gesellschaft</w:t>
      </w:r>
    </w:p>
    <w:p>
      <w:pPr>
        <w:pStyle w:val="ListBullet"/>
        <w:spacing w:line="259" w:lineRule="auto" w:after="60"/>
      </w:pPr>
      <w:r>
        <w:t>Schadensersatzpflichten bei pflichtwidrigem Handeln (Paragraph 43 GmbHG)</w:t>
      </w:r>
    </w:p>
    <w:p>
      <w:pPr>
        <w:pStyle w:val="ListBullet"/>
        <w:spacing w:line="259" w:lineRule="auto" w:after="60"/>
      </w:pPr>
      <w:r>
        <w:t>Zustimmungsvorbehalte der Gesellschafterversammlung (siehe Geschäftsführerordnung)</w:t>
      </w:r>
    </w:p>
    <w:p>
      <w:pPr>
        <w:pStyle w:val="ListBullet"/>
        <w:spacing w:line="259" w:lineRule="auto" w:after="60"/>
      </w:pPr>
      <w:r>
        <w:t>Berichts- und Dokumentationspflichten</w:t>
      </w:r>
    </w:p>
    <w:p>
      <w:pPr>
        <w:spacing w:line="259" w:lineRule="auto" w:after="60"/>
        <w:jc w:val="left"/>
      </w:pPr>
      <w:r>
        <w:t>Die Befreiung dient ausschließlich der formellen Wirksamkeit von Insichgeschäften. Inhaltlich bleibt die Geschäftsführerin den gesellschaftsrechtlichen Pflichten verbunden.</w:t>
      </w:r>
    </w:p>
    <w:p>
      <w:pPr>
        <w:pStyle w:val="Heading2"/>
        <w:spacing w:line="259" w:lineRule="auto" w:after="60"/>
      </w:pPr>
      <w:r>
        <w:rPr>
          <w:rFonts w:ascii="Times New Roman" w:hAnsi="Times New Roman"/>
        </w:rPr>
        <w:t>4. Geschäftsführerordnung — Zustimmungsvorbehalte</w:t>
      </w:r>
    </w:p>
    <w:p>
      <w:pPr>
        <w:spacing w:line="259" w:lineRule="auto" w:after="60"/>
        <w:jc w:val="left"/>
      </w:pPr>
      <w:r>
        <w:t xml:space="preserve">Die Geschäftsführerordnung wird </w:t>
      </w:r>
      <w:r>
        <w:rPr>
          <w:b/>
        </w:rPr>
        <w:t>nicht in der Satzung</w:t>
      </w:r>
      <w:r>
        <w:t xml:space="preserve"> geregelt, sondern in einer separaten, durch einfachen Gesellschafterbeschluss anpassbaren Ordnung. Inhalt:</w:t>
      </w:r>
    </w:p>
    <w:p>
      <w:pPr>
        <w:pStyle w:val="Heading3"/>
        <w:spacing w:line="259" w:lineRule="auto" w:after="60"/>
      </w:pPr>
      <w:r>
        <w:rPr>
          <w:rFonts w:ascii="Times New Roman" w:hAnsi="Times New Roman"/>
        </w:rPr>
        <w:t>4.1 Zustimmungsvorbehalte der Gesellschafterversammlung</w:t>
      </w:r>
    </w:p>
    <w:p>
      <w:pPr>
        <w:spacing w:line="259" w:lineRule="auto" w:after="60"/>
        <w:jc w:val="left"/>
      </w:pPr>
      <w:r>
        <w:t>Die Geschäftsführerin bedarf der vorherigen Zustimmung der Gesellschafterversammlung mit einfacher Mehrheit für:</w:t>
      </w:r>
    </w:p>
    <w:p>
      <w:pPr>
        <w:pStyle w:val="ListNumber"/>
        <w:spacing w:line="259" w:lineRule="auto" w:after="60"/>
      </w:pPr>
      <w:r>
        <w:t xml:space="preserve">Verträge mit einem jährlichen Volumen oder einem Einmalvolumen über </w:t>
      </w:r>
      <w:r>
        <w:rPr>
          <w:b/>
        </w:rPr>
        <w:t>10.000 EUR</w:t>
      </w:r>
    </w:p>
    <w:p>
      <w:pPr>
        <w:pStyle w:val="ListNumber"/>
        <w:spacing w:line="259" w:lineRule="auto" w:after="60"/>
      </w:pPr>
      <w:r>
        <w:t>Aufnahme von Fremdkapital</w:t>
      </w:r>
    </w:p>
    <w:p>
      <w:pPr>
        <w:pStyle w:val="ListNumber"/>
        <w:spacing w:line="259" w:lineRule="auto" w:after="60"/>
      </w:pPr>
      <w:r>
        <w:t>Erteilung von Bürgschaften, Garantien, Patronatserklärungen</w:t>
      </w:r>
    </w:p>
    <w:p>
      <w:pPr>
        <w:pStyle w:val="ListNumber"/>
        <w:spacing w:line="259" w:lineRule="auto" w:after="60"/>
      </w:pPr>
      <w:r>
        <w:t>Einstellung oder Kündigung von Mitarbeitern mit einem Bruttojahresgehalt über 60.000 EUR</w:t>
      </w:r>
    </w:p>
    <w:p>
      <w:pPr>
        <w:pStyle w:val="ListNumber"/>
        <w:spacing w:line="259" w:lineRule="auto" w:after="60"/>
      </w:pPr>
      <w:r>
        <w:t>Abschluss, Änderung oder Beendigung von Verträgen mit Gesellschaftern oder nahestehenden Personen</w:t>
      </w:r>
    </w:p>
    <w:p>
      <w:pPr>
        <w:pStyle w:val="ListNumber"/>
        <w:spacing w:line="259" w:lineRule="auto" w:after="60"/>
      </w:pPr>
      <w:r>
        <w:t>Verträge über Token-Emissionen oder die Ausgabe von Krypto-Werten</w:t>
      </w:r>
    </w:p>
    <w:p>
      <w:pPr>
        <w:pStyle w:val="ListNumber"/>
        <w:spacing w:line="259" w:lineRule="auto" w:after="60"/>
      </w:pPr>
      <w:r>
        <w:t>Verträge mit einer Laufzeit über 24 Monate, sofern nicht ordentlich kündbar</w:t>
      </w:r>
    </w:p>
    <w:p>
      <w:pPr>
        <w:pStyle w:val="Heading3"/>
        <w:spacing w:line="259" w:lineRule="auto" w:after="60"/>
      </w:pPr>
      <w:r>
        <w:rPr>
          <w:rFonts w:ascii="Times New Roman" w:hAnsi="Times New Roman"/>
        </w:rPr>
        <w:t>4.2 Zustimmungsvorbehalte Pfaffenrode (Side-Letter)</w:t>
      </w:r>
    </w:p>
    <w:p>
      <w:pPr>
        <w:spacing w:line="259" w:lineRule="auto" w:after="60"/>
        <w:jc w:val="left"/>
      </w:pPr>
      <w:r>
        <w:t>Nach Pfaffenrode-Investment kommen die im Termsheet vorgesehenen Veto-Rechte hinzu. Sie werden im Side-Letter geregelt und nicht in der Geschäftsführerordnung dupliziert.</w:t>
      </w:r>
    </w:p>
    <w:p>
      <w:pPr>
        <w:pStyle w:val="Heading3"/>
        <w:spacing w:line="259" w:lineRule="auto" w:after="60"/>
      </w:pPr>
      <w:r>
        <w:rPr>
          <w:rFonts w:ascii="Times New Roman" w:hAnsi="Times New Roman"/>
        </w:rPr>
        <w:t>4.3 Genehmigungsfähige Eilfälle</w:t>
      </w:r>
    </w:p>
    <w:p>
      <w:pPr>
        <w:spacing w:line="259" w:lineRule="auto" w:after="60"/>
        <w:jc w:val="left"/>
      </w:pPr>
      <w:r>
        <w:t>Bei Gefahr im Verzug kann die Geschäftsführerin eine zustimmungsbedürftige Maßnahme vorläufig durchführen, muss die Gesellschafterversammlung jedoch unverzüglich, spätestens binnen 48 Stunden, schriftlich informieren und eine nachträgliche Genehmigung einholen.</w:t>
      </w:r>
    </w:p>
    <w:p>
      <w:pPr>
        <w:pStyle w:val="Heading3"/>
        <w:spacing w:line="259" w:lineRule="auto" w:after="60"/>
      </w:pPr>
      <w:r>
        <w:rPr>
          <w:rFonts w:ascii="Times New Roman" w:hAnsi="Times New Roman"/>
        </w:rPr>
        <w:t>4.4 Ressorts</w:t>
      </w:r>
    </w:p>
    <w:p>
      <w:pPr>
        <w:spacing w:line="259" w:lineRule="auto" w:after="60"/>
        <w:jc w:val="left"/>
      </w:pPr>
      <w:r>
        <w:t>Auch wenn nur eine Geschäftsführerin formell bestellt ist, werden interne Verantwortlichkeiten ressortmäßig zugeordnet: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Ressort</w:t>
            </w:r>
          </w:p>
        </w:tc>
        <w:tc>
          <w:tcPr>
            <w:tcW w:type="dxa" w:w="4536"/>
          </w:tcPr>
          <w:p>
            <w:r>
              <w:rPr>
                <w:rFonts w:ascii="Times New Roman" w:hAnsi="Times New Roman"/>
                <w:b/>
                <w:sz w:val="20"/>
              </w:rPr>
              <w:t>Verantwortlich</w:t>
            </w:r>
          </w:p>
        </w:tc>
      </w:tr>
      <w:tr>
        <w:tc>
          <w:tcPr>
            <w:tcW w:type="dxa" w:w="4536"/>
          </w:tcPr>
          <w:p>
            <w:r>
              <w:rPr>
                <w:rFonts w:ascii="Times New Roman" w:hAnsi="Times New Roman"/>
                <w:sz w:val="20"/>
              </w:rPr>
              <w:t>Strategie, Investoren, Recht</w:t>
            </w:r>
          </w:p>
        </w:tc>
        <w:tc>
          <w:tcPr>
            <w:tcW w:type="dxa" w:w="4536"/>
          </w:tcPr>
          <w:p>
            <w:r>
              <w:rPr>
                <w:rFonts w:ascii="Times New Roman" w:hAnsi="Times New Roman"/>
                <w:sz w:val="20"/>
              </w:rPr>
              <w:t>Aylin Soeren (Geschäftsführerin)</w:t>
            </w:r>
          </w:p>
        </w:tc>
      </w:tr>
      <w:tr>
        <w:tc>
          <w:tcPr>
            <w:tcW w:type="dxa" w:w="4536"/>
          </w:tcPr>
          <w:p>
            <w:r>
              <w:rPr>
                <w:rFonts w:ascii="Times New Roman" w:hAnsi="Times New Roman"/>
                <w:sz w:val="20"/>
              </w:rPr>
              <w:t>Technik, Architektur, Protokoll</w:t>
            </w:r>
          </w:p>
        </w:tc>
        <w:tc>
          <w:tcPr>
            <w:tcW w:type="dxa" w:w="4536"/>
          </w:tcPr>
          <w:p>
            <w:r>
              <w:rPr>
                <w:rFonts w:ascii="Times New Roman" w:hAnsi="Times New Roman"/>
                <w:sz w:val="20"/>
              </w:rPr>
              <w:t>Jonas Kreutzberger (CTO, intern)</w:t>
            </w:r>
          </w:p>
        </w:tc>
      </w:tr>
      <w:tr>
        <w:tc>
          <w:tcPr>
            <w:tcW w:type="dxa" w:w="4536"/>
          </w:tcPr>
          <w:p>
            <w:r>
              <w:rPr>
                <w:rFonts w:ascii="Times New Roman" w:hAnsi="Times New Roman"/>
                <w:sz w:val="20"/>
              </w:rPr>
              <w:t>Produkt, Wirtschaft, Marketing</w:t>
            </w:r>
          </w:p>
        </w:tc>
        <w:tc>
          <w:tcPr>
            <w:tcW w:type="dxa" w:w="4536"/>
          </w:tcPr>
          <w:p>
            <w:r>
              <w:rPr>
                <w:rFonts w:ascii="Times New Roman" w:hAnsi="Times New Roman"/>
                <w:sz w:val="20"/>
              </w:rPr>
              <w:t>Mira Holzbach (Prokuristin nach HR-Eintragung)</w:t>
            </w:r>
          </w:p>
        </w:tc>
      </w:tr>
    </w:tbl>
    <w:p>
      <w:pPr>
        <w:spacing w:line="259" w:lineRule="auto" w:after="60"/>
        <w:jc w:val="left"/>
      </w:pPr>
      <w:r>
        <w:t>Diese interne Ressortverteilung lässt die Außenvertretung durch die Geschäftsführerin unberührt.</w:t>
      </w:r>
    </w:p>
    <w:p>
      <w:pPr>
        <w:pStyle w:val="Heading2"/>
        <w:spacing w:line="259" w:lineRule="auto" w:after="60"/>
      </w:pPr>
      <w:r>
        <w:rPr>
          <w:rFonts w:ascii="Times New Roman" w:hAnsi="Times New Roman"/>
        </w:rPr>
        <w:t>5. Prokura für Mira Holzbach</w:t>
      </w:r>
    </w:p>
    <w:p>
      <w:pPr>
        <w:spacing w:line="259" w:lineRule="auto" w:after="60"/>
        <w:jc w:val="left"/>
      </w:pPr>
      <w:r>
        <w:t xml:space="preserve">Nach Eintragung der Gesellschaft erteilt die Geschäftsführerin Frau Holzbach eine </w:t>
      </w:r>
      <w:r>
        <w:rPr>
          <w:b/>
        </w:rPr>
        <w:t>Einzelprokura</w:t>
      </w:r>
      <w:r>
        <w:t>. Anmeldung beim Handelsregister durch die Geschäftsführerin. Inhaltliche Grenzen der Prokura ergeben sich aus Paragraphen 49 und 50 HGB, insbesondere Veräußerung von Grundstücken nur mit besonderer Ermächtigung.</w:t>
      </w:r>
    </w:p>
    <w:p>
      <w:pPr>
        <w:pStyle w:val="Heading2"/>
        <w:spacing w:line="259" w:lineRule="auto" w:after="60"/>
      </w:pPr>
      <w:r>
        <w:rPr>
          <w:rFonts w:ascii="Times New Roman" w:hAnsi="Times New Roman"/>
        </w:rPr>
        <w:t>6. Geschäftsführerdienstvertrag</w:t>
      </w:r>
    </w:p>
    <w:p>
      <w:pPr>
        <w:spacing w:line="259" w:lineRule="auto" w:after="60"/>
        <w:jc w:val="left"/>
      </w:pPr>
      <w:r>
        <w:t>Eckpunkte des separaten Dienstvertrags: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Inhalt</w:t>
            </w:r>
          </w:p>
        </w:tc>
      </w:tr>
      <w:tr>
        <w:tc>
          <w:tcPr>
            <w:tcW w:type="dxa" w:w="4536"/>
          </w:tcPr>
          <w:p>
            <w:r>
              <w:rPr>
                <w:rFonts w:ascii="Times New Roman" w:hAnsi="Times New Roman"/>
                <w:sz w:val="20"/>
              </w:rPr>
              <w:t>Vertragsbeginn</w:t>
            </w:r>
          </w:p>
        </w:tc>
        <w:tc>
          <w:tcPr>
            <w:tcW w:type="dxa" w:w="4536"/>
          </w:tcPr>
          <w:p>
            <w:r>
              <w:rPr>
                <w:rFonts w:ascii="Times New Roman" w:hAnsi="Times New Roman"/>
                <w:sz w:val="20"/>
              </w:rPr>
              <w:t>Eintragung der Gesellschaft im Handelsregister</w:t>
            </w:r>
          </w:p>
        </w:tc>
      </w:tr>
      <w:tr>
        <w:tc>
          <w:tcPr>
            <w:tcW w:type="dxa" w:w="4536"/>
          </w:tcPr>
          <w:p>
            <w:r>
              <w:rPr>
                <w:rFonts w:ascii="Times New Roman" w:hAnsi="Times New Roman"/>
                <w:sz w:val="20"/>
              </w:rPr>
              <w:t>Laufzeit</w:t>
            </w:r>
          </w:p>
        </w:tc>
        <w:tc>
          <w:tcPr>
            <w:tcW w:type="dxa" w:w="4536"/>
          </w:tcPr>
          <w:p>
            <w:r>
              <w:rPr>
                <w:rFonts w:ascii="Times New Roman" w:hAnsi="Times New Roman"/>
                <w:sz w:val="20"/>
              </w:rPr>
              <w:t>unbefristet, Probezeit sechs Monate, anschließend Kündigungsfrist sechs Monate zum Quartalsende</w:t>
            </w:r>
          </w:p>
        </w:tc>
      </w:tr>
      <w:tr>
        <w:tc>
          <w:tcPr>
            <w:tcW w:type="dxa" w:w="4536"/>
          </w:tcPr>
          <w:p>
            <w:r>
              <w:rPr>
                <w:rFonts w:ascii="Times New Roman" w:hAnsi="Times New Roman"/>
                <w:sz w:val="20"/>
              </w:rPr>
              <w:t>Bruttojahresgehalt</w:t>
            </w:r>
          </w:p>
        </w:tc>
        <w:tc>
          <w:tcPr>
            <w:tcW w:type="dxa" w:w="4536"/>
          </w:tcPr>
          <w:p>
            <w:r>
              <w:rPr>
                <w:rFonts w:ascii="Times New Roman" w:hAnsi="Times New Roman"/>
                <w:sz w:val="20"/>
              </w:rPr>
              <w:t>60.000 EUR (60 Prozent des Marktwerts in der Anlaufphase, Anpassung mit erster Finanzierungsrunde Series A)</w:t>
            </w:r>
          </w:p>
        </w:tc>
      </w:tr>
      <w:tr>
        <w:tc>
          <w:tcPr>
            <w:tcW w:type="dxa" w:w="4536"/>
          </w:tcPr>
          <w:p>
            <w:r>
              <w:rPr>
                <w:rFonts w:ascii="Times New Roman" w:hAnsi="Times New Roman"/>
                <w:sz w:val="20"/>
              </w:rPr>
              <w:t>Tantieme</w:t>
            </w:r>
          </w:p>
        </w:tc>
        <w:tc>
          <w:tcPr>
            <w:tcW w:type="dxa" w:w="4536"/>
          </w:tcPr>
          <w:p>
            <w:r>
              <w:rPr>
                <w:rFonts w:ascii="Times New Roman" w:hAnsi="Times New Roman"/>
                <w:sz w:val="20"/>
              </w:rPr>
              <w:t>10 Prozent des Jahresüberschusses, bemessen nach HGB-Abschluss</w:t>
            </w:r>
          </w:p>
        </w:tc>
      </w:tr>
      <w:tr>
        <w:tc>
          <w:tcPr>
            <w:tcW w:type="dxa" w:w="4536"/>
          </w:tcPr>
          <w:p>
            <w:r>
              <w:rPr>
                <w:rFonts w:ascii="Times New Roman" w:hAnsi="Times New Roman"/>
                <w:sz w:val="20"/>
              </w:rPr>
              <w:t>Urlaub</w:t>
            </w:r>
          </w:p>
        </w:tc>
        <w:tc>
          <w:tcPr>
            <w:tcW w:type="dxa" w:w="4536"/>
          </w:tcPr>
          <w:p>
            <w:r>
              <w:rPr>
                <w:rFonts w:ascii="Times New Roman" w:hAnsi="Times New Roman"/>
                <w:sz w:val="20"/>
              </w:rPr>
              <w:t>28 Tage</w:t>
            </w:r>
          </w:p>
        </w:tc>
      </w:tr>
      <w:tr>
        <w:tc>
          <w:tcPr>
            <w:tcW w:type="dxa" w:w="4536"/>
          </w:tcPr>
          <w:p>
            <w:r>
              <w:rPr>
                <w:rFonts w:ascii="Times New Roman" w:hAnsi="Times New Roman"/>
                <w:sz w:val="20"/>
              </w:rPr>
              <w:t>Dienstwagen</w:t>
            </w:r>
          </w:p>
        </w:tc>
        <w:tc>
          <w:tcPr>
            <w:tcW w:type="dxa" w:w="4536"/>
          </w:tcPr>
          <w:p>
            <w:r>
              <w:rPr>
                <w:rFonts w:ascii="Times New Roman" w:hAnsi="Times New Roman"/>
                <w:sz w:val="20"/>
              </w:rPr>
              <w:t>nein</w:t>
            </w:r>
          </w:p>
        </w:tc>
      </w:tr>
      <w:tr>
        <w:tc>
          <w:tcPr>
            <w:tcW w:type="dxa" w:w="4536"/>
          </w:tcPr>
          <w:p>
            <w:r>
              <w:rPr>
                <w:rFonts w:ascii="Times New Roman" w:hAnsi="Times New Roman"/>
                <w:sz w:val="20"/>
              </w:rPr>
              <w:t>Wettbewerbsverbot</w:t>
            </w:r>
          </w:p>
        </w:tc>
        <w:tc>
          <w:tcPr>
            <w:tcW w:type="dxa" w:w="4536"/>
          </w:tcPr>
          <w:p>
            <w:r>
              <w:rPr>
                <w:rFonts w:ascii="Times New Roman" w:hAnsi="Times New Roman"/>
                <w:sz w:val="20"/>
              </w:rPr>
              <w:t>bei und nach Beendigung, nachvertraglich zwölf Monate gegen Karenzentschädigung</w:t>
            </w:r>
          </w:p>
        </w:tc>
      </w:tr>
      <w:tr>
        <w:tc>
          <w:tcPr>
            <w:tcW w:type="dxa" w:w="4536"/>
          </w:tcPr>
          <w:p>
            <w:r>
              <w:rPr>
                <w:rFonts w:ascii="Times New Roman" w:hAnsi="Times New Roman"/>
                <w:sz w:val="20"/>
              </w:rPr>
              <w:t>Verschwiegenheitspflicht</w:t>
            </w:r>
          </w:p>
        </w:tc>
        <w:tc>
          <w:tcPr>
            <w:tcW w:type="dxa" w:w="4536"/>
          </w:tcPr>
          <w:p>
            <w:r>
              <w:rPr>
                <w:rFonts w:ascii="Times New Roman" w:hAnsi="Times New Roman"/>
                <w:sz w:val="20"/>
              </w:rPr>
              <w:t>unbefristet</w:t>
            </w:r>
          </w:p>
        </w:tc>
      </w:tr>
    </w:tbl>
    <w:p>
      <w:pPr>
        <w:spacing w:line="259" w:lineRule="auto" w:after="60"/>
        <w:jc w:val="left"/>
      </w:pPr>
      <w:r>
        <w:t>Eichbaum prüft den Vertrag steuerlich vor Unterzeichnung.</w:t>
      </w:r>
    </w:p>
    <w:p>
      <w:pPr>
        <w:pStyle w:val="Heading2"/>
        <w:spacing w:line="259" w:lineRule="auto" w:after="60"/>
      </w:pPr>
      <w:r>
        <w:rPr>
          <w:rFonts w:ascii="Times New Roman" w:hAnsi="Times New Roman"/>
        </w:rPr>
        <w:t>7. Bestellungsbeschluss (Muster)</w:t>
      </w:r>
    </w:p>
    <w:p>
      <w:pPr>
        <w:spacing w:line="259" w:lineRule="auto" w:after="60"/>
        <w:jc w:val="left"/>
      </w:pPr>
      <w:r>
        <w:t>Folgender Beschluss wird in die Gründungsurkunde aufgenommen:</w:t>
      </w:r>
    </w:p>
    <w:p>
      <w:pPr>
        <w:spacing w:line="259" w:lineRule="auto" w:after="60"/>
        <w:ind w:left="567"/>
      </w:pPr>
      <w:r>
        <w:rPr>
          <w:i/>
        </w:rPr>
        <w:t>Frau Dr. Aylin Soeren, geboren am 12.07.1987 in München, wohnhaft Berlin, wird zur Geschäftsführerin der NeuroChain Labs GmbH bestellt. Sie ist einzelvertretungsberechtigt und von den Beschränkungen des Paragraphen 181 des Bürgerlichen Gesetzbuches befreit. Die Bestellung gilt mit Eintragung der Gesellschaft im Handelsregister und ist mit der Anmeldung dort einzutragen.</w:t>
      </w:r>
    </w:p>
    <w:p>
      <w:pPr>
        <w:pStyle w:val="Heading2"/>
        <w:spacing w:line="259" w:lineRule="auto" w:after="60"/>
      </w:pPr>
      <w:r>
        <w:rPr>
          <w:rFonts w:ascii="Times New Roman" w:hAnsi="Times New Roman"/>
        </w:rPr>
        <w:t>8. Hinweis MoPeG-Reform</w:t>
      </w:r>
    </w:p>
    <w:p>
      <w:pPr>
        <w:spacing w:line="259" w:lineRule="auto" w:after="60"/>
        <w:jc w:val="left"/>
      </w:pPr>
      <w:r>
        <w:t>Das Gesetz zur Modernisierung des Personengesellschaftsrechts (MoPeG) hat 2024 vor allem das Recht der GbR umgestaltet. Für die GmbH ergibt sich daraus keine unmittelbare Änderung in der Geschäftsführerstellung. Hinzuweisen ist aber auf das eGbR und das Gesellschaftsregister — falls die Gesellschaft später eine GbR als Tochter aufbaut, ist diese im neuen Gesellschaftsregister zu führen.</w:t>
      </w:r>
    </w:p>
    <w:p>
      <w:pPr>
        <w:spacing w:line="259" w:lineRule="auto" w:after="60"/>
      </w:pPr>
    </w:p>
    <w:p>
      <w:pPr>
        <w:spacing w:line="259" w:lineRule="auto" w:after="60"/>
        <w:jc w:val="left"/>
      </w:pPr>
      <w:r>
        <w:t>Berlin, 17.05.2026</w:t>
      </w:r>
    </w:p>
    <w:p>
      <w:pPr>
        <w:spacing w:line="259" w:lineRule="auto" w:after="60"/>
        <w:jc w:val="left"/>
      </w:pPr>
      <w:r>
        <w:t>Aylin Soeren, Jonas Kreutzberger, Mira Holzbach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Hagemann &amp; Westarp Rechtsanwälte | Gesellschaftsrechtliche Arbeitsakte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