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Shareholder Agreement (Gesellschaftervereinbarung)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Roeschen Tech GmbH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 15.11.2025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Parteien</w:t>
      </w:r>
    </w:p>
    <w:p>
      <w:pPr>
        <w:pStyle w:val="ListNumber"/>
        <w:spacing w:line="259" w:lineRule="auto" w:after="60"/>
      </w:pPr>
      <w:r>
        <w:t xml:space="preserve">Frau </w:t>
      </w:r>
      <w:r>
        <w:rPr>
          <w:b/>
        </w:rPr>
        <w:t>Andrea Roesener</w:t>
      </w:r>
      <w:r>
        <w:t>, geb. 12.05.1988, wohnhaft Pappelallee 23, 10437 Berlin — ("Andrea")</w:t>
      </w:r>
    </w:p>
    <w:p>
      <w:pPr>
        <w:pStyle w:val="ListNumber"/>
        <w:spacing w:line="259" w:lineRule="auto" w:after="60"/>
      </w:pPr>
      <w:r>
        <w:t xml:space="preserve">Herr </w:t>
      </w:r>
      <w:r>
        <w:rPr>
          <w:b/>
        </w:rPr>
        <w:t>Bert Schmid</w:t>
      </w:r>
      <w:r>
        <w:t>, geb. 03.09.1985, wohnhaft Schoenhauser Allee 144, 10437 Berlin — ("Bert")</w:t>
      </w:r>
    </w:p>
    <w:p>
      <w:pPr>
        <w:pStyle w:val="ListNumber"/>
        <w:spacing w:line="259" w:lineRule="auto" w:after="60"/>
      </w:pPr>
      <w:r>
        <w:t xml:space="preserve">Frau </w:t>
      </w:r>
      <w:r>
        <w:rPr>
          <w:b/>
        </w:rPr>
        <w:t>Christine Linnenbach</w:t>
      </w:r>
      <w:r>
        <w:t>, geb. 21.11.1991, wohnhaft Greifswalder Strasse 78, 10405 Berlin — ("Christine")</w:t>
      </w:r>
    </w:p>
    <w:p>
      <w:pPr>
        <w:pStyle w:val="ListNumber"/>
        <w:spacing w:line="259" w:lineRule="auto" w:after="60"/>
      </w:pPr>
      <w:r>
        <w:rPr>
          <w:b/>
        </w:rPr>
        <w:t>Stahlauge Ventures AG</w:t>
      </w:r>
      <w:r>
        <w:t>, eingetragen im HR Muenchen unter HRB 234567, vertreten durch ihren Vorstand Dr. Felix Stahlauge — ("Stahlauge")</w:t>
      </w:r>
    </w:p>
    <w:p>
      <w:pPr>
        <w:spacing w:line="259" w:lineRule="auto" w:after="60"/>
        <w:jc w:val="left"/>
      </w:pPr>
      <w:r>
        <w:t>(Andrea, Bert, Christine zusammen "Gründer"; Stahlauge ist "Investor"; Gründer und Investor zusammen "Gesellschafter".)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Präambel</w:t>
      </w:r>
    </w:p>
    <w:p>
      <w:pPr>
        <w:spacing w:line="259" w:lineRule="auto" w:after="60"/>
        <w:jc w:val="left"/>
      </w:pPr>
      <w:r>
        <w:t>Die Gesellschafter sind die Gesellschafter der Roeschen Tech GmbH ("Gesellschaft"). Im Zuge der Series-A-Finanzierung vom 15.11.2025 wurden zur Class B 10.000 neue Geschäftsanteile mit Investment-Volumen 5.000.000 EUR (Pre-Money 15 Mio., Post-Money 20 Mio.) ausgegeben. Stahlauge zeichnete sämtliche Class B Anteile.</w:t>
      </w:r>
    </w:p>
    <w:p>
      <w:pPr>
        <w:spacing w:line="259" w:lineRule="auto" w:after="60"/>
        <w:jc w:val="left"/>
      </w:pPr>
      <w:r>
        <w:t>Die Gesellschafter regeln in dieser Vereinbarung ihre Beziehungen über die Satzung hinaus.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§ 1 Vesting</w:t>
      </w:r>
    </w:p>
    <w:p>
      <w:pPr>
        <w:spacing w:line="259" w:lineRule="auto" w:after="60"/>
        <w:jc w:val="left"/>
      </w:pPr>
      <w:r>
        <w:t>(1) Die Anteile der Gründer unterliegen einem Vesting wie folgt:</w:t>
      </w:r>
    </w:p>
    <w:p>
      <w:pPr>
        <w:pStyle w:val="ListBullet"/>
        <w:spacing w:line="259" w:lineRule="auto" w:after="60"/>
      </w:pPr>
      <w:r>
        <w:rPr>
          <w:b/>
        </w:rPr>
        <w:t>Vesting-Periode</w:t>
      </w:r>
      <w:r>
        <w:t>: 4 Jahre ab dem 1. März 2024 (Gründung)</w:t>
      </w:r>
    </w:p>
    <w:p>
      <w:pPr>
        <w:pStyle w:val="ListBullet"/>
        <w:spacing w:line="259" w:lineRule="auto" w:after="60"/>
      </w:pPr>
      <w:r>
        <w:rPr>
          <w:b/>
        </w:rPr>
        <w:t>Cliff-Periode</w:t>
      </w:r>
      <w:r>
        <w:t>: 12 Monate (bis 28. Februar 2025); bei Ausscheiden vor Ablauf des Cliff vesten 0 Anteile</w:t>
      </w:r>
    </w:p>
    <w:p>
      <w:pPr>
        <w:pStyle w:val="ListBullet"/>
        <w:spacing w:line="259" w:lineRule="auto" w:after="60"/>
      </w:pPr>
      <w:r>
        <w:t xml:space="preserve">Nach Ablauf des Cliff vesten </w:t>
      </w:r>
      <w:r>
        <w:rPr>
          <w:b/>
        </w:rPr>
        <w:t>25 % der Gründer-Anteile</w:t>
      </w:r>
    </w:p>
    <w:p>
      <w:pPr>
        <w:pStyle w:val="ListBullet"/>
        <w:spacing w:line="259" w:lineRule="auto" w:after="60"/>
      </w:pPr>
      <w:r>
        <w:t xml:space="preserve">Danach </w:t>
      </w:r>
      <w:r>
        <w:rPr>
          <w:b/>
        </w:rPr>
        <w:t>monatlich 1/48</w:t>
      </w:r>
      <w:r>
        <w:t xml:space="preserve"> der Gründer-Anteile zusätzlich</w:t>
      </w:r>
    </w:p>
    <w:p>
      <w:pPr>
        <w:pStyle w:val="ListBullet"/>
        <w:spacing w:line="259" w:lineRule="auto" w:after="60"/>
      </w:pPr>
      <w:r>
        <w:t>Nach 48 Monaten vested: 100 %</w:t>
      </w:r>
    </w:p>
    <w:p>
      <w:pPr>
        <w:spacing w:line="259" w:lineRule="auto" w:after="60"/>
        <w:jc w:val="left"/>
      </w:pPr>
      <w:r>
        <w:t>(2) Vested-Stand am 18.06.2026: ca. 33/48 = 68,75 % der Gründer-Anteile sind vested (gerundet).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§ 2 Leaver-Bestimmungen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Good Leaver</w:t>
      </w:r>
    </w:p>
    <w:p>
      <w:pPr>
        <w:spacing w:line="259" w:lineRule="auto" w:after="60"/>
        <w:jc w:val="left"/>
      </w:pPr>
      <w:r>
        <w:t>(1) Ein Gründer ist "Good Leaver", wenn er aus folgenden Gründen ausscheidet:</w:t>
      </w:r>
    </w:p>
    <w:p>
      <w:pPr>
        <w:spacing w:line="259" w:lineRule="auto" w:after="60"/>
        <w:jc w:val="left"/>
      </w:pPr>
      <w:r>
        <w:t>a) Tod oder dauerhafte Erwerbsunfähigkeit,</w:t>
      </w:r>
    </w:p>
    <w:p>
      <w:pPr>
        <w:spacing w:line="259" w:lineRule="auto" w:after="60"/>
        <w:jc w:val="left"/>
      </w:pPr>
      <w:r>
        <w:t>b) Aufhebungs-/Renten-Eintritt im Einvernehmen,</w:t>
      </w:r>
    </w:p>
    <w:p>
      <w:pPr>
        <w:spacing w:line="259" w:lineRule="auto" w:after="60"/>
        <w:jc w:val="left"/>
      </w:pPr>
      <w:r>
        <w:t>c) Kündigung durch die Gesellschaft ohne wichtigen Grund,</w:t>
      </w:r>
    </w:p>
    <w:p>
      <w:pPr>
        <w:spacing w:line="259" w:lineRule="auto" w:after="60"/>
        <w:jc w:val="left"/>
      </w:pPr>
      <w:r>
        <w:t>d) Eigene Kündigung nach mehr als 4 Jahren Tätigkeit.</w:t>
      </w:r>
    </w:p>
    <w:p>
      <w:pPr>
        <w:spacing w:line="259" w:lineRule="auto" w:after="60"/>
        <w:jc w:val="left"/>
      </w:pPr>
      <w:r>
        <w:t>(2) Ein Good Leaver behält seine bis dahin vested Anteile. Nicht-vested Anteile werden zum Verkehrswert zurückgekauft.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Bad Leaver</w:t>
      </w:r>
    </w:p>
    <w:p>
      <w:pPr>
        <w:spacing w:line="259" w:lineRule="auto" w:after="60"/>
        <w:jc w:val="left"/>
      </w:pPr>
      <w:r>
        <w:t>(3) Ein Gründer ist "Bad Leaver", wenn er aus folgenden Gründen ausscheidet:</w:t>
      </w:r>
    </w:p>
    <w:p>
      <w:pPr>
        <w:spacing w:line="259" w:lineRule="auto" w:after="60"/>
        <w:jc w:val="left"/>
      </w:pPr>
      <w:r>
        <w:t>a) Eigene Kündigung vor 4 Jahren ohne wichtigen Grund,</w:t>
      </w:r>
    </w:p>
    <w:p>
      <w:pPr>
        <w:spacing w:line="259" w:lineRule="auto" w:after="60"/>
        <w:jc w:val="left"/>
      </w:pPr>
      <w:r>
        <w:t>b) Schwerwiegende und wiederholte Pflichtverletzung trotz Abmahnung,</w:t>
      </w:r>
    </w:p>
    <w:p>
      <w:pPr>
        <w:spacing w:line="259" w:lineRule="auto" w:after="60"/>
        <w:jc w:val="left"/>
      </w:pPr>
      <w:r>
        <w:t>c) Verstoss gegen Wettbewerbsverbot während Beteiligung,</w:t>
      </w:r>
    </w:p>
    <w:p>
      <w:pPr>
        <w:spacing w:line="259" w:lineRule="auto" w:after="60"/>
        <w:jc w:val="left"/>
      </w:pPr>
      <w:r>
        <w:t>d) Veraeusserung von Anteilen ohne Zustimmung (Verstoss gegen Vinkulierung).</w:t>
      </w:r>
    </w:p>
    <w:p>
      <w:pPr>
        <w:spacing w:line="259" w:lineRule="auto" w:after="60"/>
        <w:jc w:val="left"/>
      </w:pPr>
      <w:r>
        <w:t xml:space="preserve">(4) Ein Bad Leaver verliert non-vested Anteile zum </w:t>
      </w:r>
      <w:r>
        <w:rPr>
          <w:b/>
        </w:rPr>
        <w:t>Nennwert</w:t>
      </w:r>
      <w:r>
        <w:t xml:space="preserve">. Vested Anteile werden zum </w:t>
      </w:r>
      <w:r>
        <w:rPr>
          <w:b/>
        </w:rPr>
        <w:t>75 % des Verkehrswertes</w:t>
      </w:r>
      <w:r>
        <w:t xml:space="preserve"> zurückgekauft.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§ 3 Vorkaufsrechte</w:t>
      </w:r>
    </w:p>
    <w:p>
      <w:pPr>
        <w:spacing w:line="259" w:lineRule="auto" w:after="60"/>
        <w:jc w:val="left"/>
      </w:pPr>
      <w:r>
        <w:t>(1) Bei beabsichtigter Veraeusserung von Anteilen an einen Dritten haben die übrigen Gesellschafter ein Vorkaufsrecht.</w:t>
      </w:r>
    </w:p>
    <w:p>
      <w:pPr>
        <w:spacing w:line="259" w:lineRule="auto" w:after="60"/>
        <w:jc w:val="left"/>
      </w:pPr>
      <w:r>
        <w:t xml:space="preserve">(2) Der veraeusserungswillige Gesellschafter teilt den übrigen Gesellschaftern das Dritt-Angebot mit. Die übrigen Gesellschafter haben innerhalb von </w:t>
      </w:r>
      <w:r>
        <w:rPr>
          <w:b/>
        </w:rPr>
        <w:t>30 Tagen</w:t>
      </w:r>
      <w:r>
        <w:t xml:space="preserve"> das Recht, anteilig zu denselben Bedingungen zu erwerben.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§ 4 Drag-Along</w:t>
      </w:r>
    </w:p>
    <w:p>
      <w:pPr>
        <w:spacing w:line="259" w:lineRule="auto" w:after="60"/>
        <w:jc w:val="left"/>
      </w:pPr>
      <w:r>
        <w:t xml:space="preserve">(1) Stimmen Gesellschafter, die zusammen mehr als </w:t>
      </w:r>
      <w:r>
        <w:rPr>
          <w:b/>
        </w:rPr>
        <w:t>75 % der Stimmrechte</w:t>
      </w:r>
      <w:r>
        <w:t xml:space="preserve"> halten, einem Verkauf sämtlicher Anteile an der Gesellschaft an einen Dritten zu, können sie die übrigen Gesellschafter verpflichten, ihre Anteile zu denselben Bedingungen mitzuveraeussern (Drag-Along-Obligation).</w:t>
      </w:r>
    </w:p>
    <w:p>
      <w:pPr>
        <w:spacing w:line="259" w:lineRule="auto" w:after="60"/>
        <w:jc w:val="left"/>
      </w:pPr>
      <w:r>
        <w:t>(2) Die Drag-Along-Obligation gilt nur, wenn:</w:t>
      </w:r>
    </w:p>
    <w:p>
      <w:pPr>
        <w:spacing w:line="259" w:lineRule="auto" w:after="60"/>
        <w:jc w:val="left"/>
      </w:pPr>
      <w:r>
        <w:t>a) der Verkaufspreis pro Anteil gleichbleibend für alle Anteilsklassen ist, und</w:t>
      </w:r>
    </w:p>
    <w:p>
      <w:pPr>
        <w:spacing w:line="259" w:lineRule="auto" w:after="60"/>
        <w:jc w:val="left"/>
      </w:pPr>
      <w:r>
        <w:t>b) keiner der Gesellschafter durch den Verkauf bewusst benachteiligt wird.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§ 5 Tag-Along</w:t>
      </w:r>
    </w:p>
    <w:p>
      <w:pPr>
        <w:spacing w:line="259" w:lineRule="auto" w:after="60"/>
        <w:jc w:val="left"/>
      </w:pPr>
      <w:r>
        <w:t xml:space="preserve">(1) Beim Verkauf von mehr als 50 % der Anteile haben die übrigen Gesellschafter ein </w:t>
      </w:r>
      <w:r>
        <w:rPr>
          <w:b/>
        </w:rPr>
        <w:t>Mitveraeusserungs-Recht</w:t>
      </w:r>
      <w:r>
        <w:t xml:space="preserve"> (Tag-Along).</w:t>
      </w:r>
    </w:p>
    <w:p>
      <w:pPr>
        <w:spacing w:line="259" w:lineRule="auto" w:after="60"/>
        <w:jc w:val="left"/>
      </w:pPr>
      <w:r>
        <w:t>(2) Sie können ihre Anteile zu denselben Bedingungen mitveraeussern und werden vom Mehrheits-Verkäufer gleichbehandelt.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§ 6 Stimmverpflichtung (Stimmvertrag)</w:t>
      </w:r>
    </w:p>
    <w:p>
      <w:pPr>
        <w:spacing w:line="259" w:lineRule="auto" w:after="60"/>
        <w:jc w:val="left"/>
      </w:pPr>
      <w:r>
        <w:t>(1) Die Gesellschafter verpflichten sich, in der Gesellschafterversammlung in einer Art und Weise abzustimmen, dass die Beschlüsse, die diesem Shareholder Agreement entsprechen, gefasst werden.</w:t>
      </w:r>
    </w:p>
    <w:p>
      <w:pPr>
        <w:spacing w:line="259" w:lineRule="auto" w:after="60"/>
        <w:jc w:val="left"/>
      </w:pPr>
      <w:r>
        <w:t>(2) Insbesondere verpflichten sie sich:</w:t>
      </w:r>
    </w:p>
    <w:p>
      <w:pPr>
        <w:spacing w:line="259" w:lineRule="auto" w:after="60"/>
        <w:jc w:val="left"/>
      </w:pPr>
      <w:r>
        <w:t>a) bei Kapitalerhöhungen ihrer Zustimmung gemäß den Bestimmungen dieser Vereinbarung zu erteilen,</w:t>
      </w:r>
    </w:p>
    <w:p>
      <w:pPr>
        <w:spacing w:line="259" w:lineRule="auto" w:after="60"/>
        <w:jc w:val="left"/>
      </w:pPr>
      <w:r>
        <w:t>b) bei Anteilsübertragungen ihre Zustimmung zu erteilen, soweit der Erwerber dem Shareholder Agreement beitritt,</w:t>
      </w:r>
    </w:p>
    <w:p>
      <w:pPr>
        <w:spacing w:line="259" w:lineRule="auto" w:after="60"/>
        <w:jc w:val="left"/>
      </w:pPr>
      <w:r>
        <w:t>c) bei Drag-Along-Beschlüssen ihre Zustimmung zur Mitveraeusserung zu erteilen,</w:t>
      </w:r>
    </w:p>
    <w:p>
      <w:pPr>
        <w:spacing w:line="259" w:lineRule="auto" w:after="60"/>
        <w:jc w:val="left"/>
      </w:pPr>
      <w:r>
        <w:t xml:space="preserve">d) </w:t>
      </w:r>
      <w:r>
        <w:rPr>
          <w:b/>
        </w:rPr>
        <w:t>Stahlauge-Sondervetorechte</w:t>
      </w:r>
      <w:r>
        <w:t xml:space="preserve"> gemäß § 5 der Satzung zu respektieren.</w:t>
      </w:r>
    </w:p>
    <w:p>
      <w:pPr>
        <w:spacing w:line="259" w:lineRule="auto" w:after="60"/>
        <w:jc w:val="left"/>
      </w:pPr>
      <w:r>
        <w:t xml:space="preserve">(3) Bei Verstoss gegen die Stimmverpflichtungen schuldet der verstossende Gesellschafter den anderen Gesellschaftern eine Vertragsstrafe in Höhe von </w:t>
      </w:r>
      <w:r>
        <w:rPr>
          <w:b/>
        </w:rPr>
        <w:t>500.000 EUR pro Verstoss</w:t>
      </w:r>
      <w:r>
        <w:t>. Daneben bleibt der Anspruch auf Schadensersatz unberührt.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§ 7 Liquidation Preference Waterfall</w:t>
      </w:r>
    </w:p>
    <w:p>
      <w:pPr>
        <w:spacing w:line="259" w:lineRule="auto" w:after="60"/>
        <w:jc w:val="left"/>
      </w:pPr>
      <w:r>
        <w:t>(1) Bei Exit der Gesellschaft (Trade Sale, IPO, Liquidation):</w:t>
      </w:r>
    </w:p>
    <w:p>
      <w:pPr>
        <w:spacing w:line="259" w:lineRule="auto" w:after="60"/>
        <w:jc w:val="left"/>
      </w:pPr>
      <w:r>
        <w:rPr>
          <w:b/>
        </w:rPr>
        <w:t>Schritt 1</w:t>
      </w:r>
      <w:r>
        <w:t xml:space="preserve">: Stahlauge (Class B) erhält 1,5 × 5.000.000 EUR = </w:t>
      </w:r>
      <w:r>
        <w:rPr>
          <w:b/>
        </w:rPr>
        <w:t>7.500.000 EUR</w:t>
      </w:r>
      <w:r>
        <w:t xml:space="preserve"> vorab (Liquidation Preference).</w:t>
      </w:r>
    </w:p>
    <w:p>
      <w:pPr>
        <w:spacing w:line="259" w:lineRule="auto" w:after="60"/>
        <w:jc w:val="left"/>
      </w:pPr>
      <w:r>
        <w:rPr>
          <w:b/>
        </w:rPr>
        <w:t>Schritt 2</w:t>
      </w:r>
      <w:r>
        <w:t xml:space="preserve">: Der nach Bedienung der Präferenz verbleibende Betrag wird </w:t>
      </w:r>
      <w:r>
        <w:rPr>
          <w:b/>
        </w:rPr>
        <w:t>anteilig</w:t>
      </w:r>
      <w:r>
        <w:t xml:space="preserve"> auf alle Klassen verteilt (nach Anteilshöhe).</w:t>
      </w:r>
    </w:p>
    <w:p>
      <w:pPr>
        <w:spacing w:line="259" w:lineRule="auto" w:after="60"/>
        <w:jc w:val="left"/>
      </w:pPr>
      <w:r>
        <w:rPr>
          <w:b/>
        </w:rPr>
        <w:t>Schritt 3</w:t>
      </w:r>
      <w:r>
        <w:t>: Stahlauge erhält zusätzlich anteiligen Anteil am Restbetrag (participating).</w:t>
      </w:r>
    </w:p>
    <w:p>
      <w:pPr>
        <w:spacing w:line="259" w:lineRule="auto" w:after="60"/>
        <w:jc w:val="left"/>
      </w:pPr>
      <w:r>
        <w:t>(2) Beispielrechnung: Exit zu 30 Mio. EUR</w:t>
      </w:r>
    </w:p>
    <w:p>
      <w:pPr>
        <w:pStyle w:val="ListBullet"/>
        <w:spacing w:line="259" w:lineRule="auto" w:after="60"/>
      </w:pPr>
      <w:r>
        <w:t>Class B erhält 7,5 Mio. (Preference)</w:t>
      </w:r>
    </w:p>
    <w:p>
      <w:pPr>
        <w:pStyle w:val="ListBullet"/>
        <w:spacing w:line="259" w:lineRule="auto" w:after="60"/>
      </w:pPr>
      <w:r>
        <w:t>Restbetrag: 22,5 Mio.</w:t>
      </w:r>
    </w:p>
    <w:p>
      <w:pPr>
        <w:pStyle w:val="ListBullet"/>
        <w:spacing w:line="259" w:lineRule="auto" w:after="60"/>
      </w:pPr>
      <w:r>
        <w:t>Anteilig (25 % B, 75 % Common): Class B erhält zusätzlich 5,625 Mio., Common erhält 16,875 Mio.</w:t>
      </w:r>
    </w:p>
    <w:p>
      <w:pPr>
        <w:pStyle w:val="ListBullet"/>
        <w:spacing w:line="259" w:lineRule="auto" w:after="60"/>
      </w:pPr>
      <w:r>
        <w:t>Class B gesamt: 13,125 Mio.</w:t>
      </w:r>
    </w:p>
    <w:p>
      <w:pPr>
        <w:pStyle w:val="ListBullet"/>
        <w:spacing w:line="259" w:lineRule="auto" w:after="60"/>
      </w:pPr>
      <w:r>
        <w:t>Common gesamt: 16,875 Mio. (verteilt nach Anteilen: Andrea 6,75, Bert 6,75, Christine 3,375)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§ 8 Berichtspflichten gegenüber Investor</w:t>
      </w:r>
    </w:p>
    <w:p>
      <w:pPr>
        <w:spacing w:line="259" w:lineRule="auto" w:after="60"/>
        <w:jc w:val="left"/>
      </w:pPr>
      <w:r>
        <w:t>(1) Die Gesellschaft übermittelt Stahlauge folgende Berichte:</w:t>
      </w:r>
    </w:p>
    <w:p>
      <w:pPr>
        <w:spacing w:line="259" w:lineRule="auto" w:after="60"/>
        <w:jc w:val="left"/>
      </w:pPr>
      <w:r>
        <w:t xml:space="preserve">a) </w:t>
      </w:r>
      <w:r>
        <w:rPr>
          <w:b/>
        </w:rPr>
        <w:t>Monatlich</w:t>
      </w:r>
      <w:r>
        <w:t>: Cash-Burn, Runway, KPIs (binnen 10 Tagen nach Monatsende),</w:t>
      </w:r>
    </w:p>
    <w:p>
      <w:pPr>
        <w:spacing w:line="259" w:lineRule="auto" w:after="60"/>
        <w:jc w:val="left"/>
      </w:pPr>
      <w:r>
        <w:t xml:space="preserve">b) </w:t>
      </w:r>
      <w:r>
        <w:rPr>
          <w:b/>
        </w:rPr>
        <w:t>Quartalsweise</w:t>
      </w:r>
      <w:r>
        <w:t>: P&amp;L, Bilanz-Auszug, Plan-Ist-Vergleich,</w:t>
      </w:r>
    </w:p>
    <w:p>
      <w:pPr>
        <w:spacing w:line="259" w:lineRule="auto" w:after="60"/>
        <w:jc w:val="left"/>
      </w:pPr>
      <w:r>
        <w:t xml:space="preserve">c) </w:t>
      </w:r>
      <w:r>
        <w:rPr>
          <w:b/>
        </w:rPr>
        <w:t>Jährlich</w:t>
      </w:r>
      <w:r>
        <w:t>: Jahresabschluss und Lagebericht (binnen 3 Monaten nach Geschäftsjahresende).</w:t>
      </w:r>
    </w:p>
    <w:p>
      <w:pPr>
        <w:spacing w:line="259" w:lineRule="auto" w:after="60"/>
        <w:jc w:val="left"/>
      </w:pPr>
      <w:r>
        <w:t>(2) Bei wesentlichen Ereignissen (Verlust &gt; 20 % der Liquidität, Kündigung Schlüssel-Mitarbeiter, drohende Klagen): unverzüglich Mitteilung.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§ 9 Wettbewerbsverbot</w:t>
      </w:r>
    </w:p>
    <w:p>
      <w:pPr>
        <w:spacing w:line="259" w:lineRule="auto" w:after="60"/>
        <w:jc w:val="left"/>
      </w:pPr>
      <w:r>
        <w:t>(1) Die Gründer verpflichten sich, während ihrer Beteiligung und 12 Monate über das Ende der Beteiligung hinaus keine konkurrierenden Geschäfte zu betreiben.</w:t>
      </w:r>
    </w:p>
    <w:p>
      <w:pPr>
        <w:spacing w:line="259" w:lineRule="auto" w:after="60"/>
        <w:jc w:val="left"/>
      </w:pPr>
      <w:r>
        <w:t>(2) Bei Verstoss: Vertragsstrafe 250.000 EUR pro Verstoss.</w:t>
      </w:r>
    </w:p>
    <w:p>
      <w:pPr>
        <w:spacing w:line="259" w:lineRule="auto" w:after="60"/>
        <w:jc w:val="left"/>
      </w:pPr>
      <w:r>
        <w:t>(3) Bei nachvertraglichem Wettbewerbsverbot: Karenzentschaedigung gemäß separatem Geschäftsführervertrag.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§ 10 Sprache und Vorrang</w:t>
      </w:r>
    </w:p>
    <w:p>
      <w:pPr>
        <w:spacing w:line="259" w:lineRule="auto" w:after="60"/>
        <w:jc w:val="left"/>
      </w:pPr>
      <w:r>
        <w:t>(1) Diese Vereinbarung wird in deutscher und englischer Sprache abgefasst.</w:t>
      </w:r>
    </w:p>
    <w:p>
      <w:pPr>
        <w:spacing w:line="259" w:lineRule="auto" w:after="60"/>
        <w:jc w:val="left"/>
      </w:pPr>
      <w:r>
        <w:t xml:space="preserve">(2) Bei Inkonsistenzen geht die </w:t>
      </w:r>
      <w:r>
        <w:rPr>
          <w:b/>
        </w:rPr>
        <w:t>deutsche</w:t>
      </w:r>
      <w:r>
        <w:t xml:space="preserve"> Fassung vor.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§ 11 Streit-Beilegung</w:t>
      </w:r>
    </w:p>
    <w:p>
      <w:pPr>
        <w:spacing w:line="259" w:lineRule="auto" w:after="60"/>
        <w:jc w:val="left"/>
      </w:pPr>
      <w:r>
        <w:t xml:space="preserve">(1) </w:t>
      </w:r>
      <w:r>
        <w:rPr>
          <w:b/>
        </w:rPr>
        <w:t>Vor Klageerhebung</w:t>
      </w:r>
      <w:r>
        <w:t xml:space="preserve"> muss zunächst der Beirat der Gesellschaft angerufen werden (siehe Beiratsordnung).</w:t>
      </w:r>
    </w:p>
    <w:p>
      <w:pPr>
        <w:spacing w:line="259" w:lineRule="auto" w:after="60"/>
        <w:jc w:val="left"/>
      </w:pPr>
      <w:r>
        <w:t>(2) Bei Versäumnis: Anrufung des Beirats kann durch Einrede der Unzulässigkeit der Klage gefordert werden.</w:t>
      </w:r>
    </w:p>
    <w:p>
      <w:pPr>
        <w:spacing w:line="259" w:lineRule="auto" w:after="60"/>
        <w:jc w:val="left"/>
      </w:pPr>
      <w:r>
        <w:t>(3) Schiedsklausel: alle Streitigkeiten werden nach der Schiedsgerichtsordnung der DIS (Deutsche Institution für Schiedsgerichtsbarkeit) endgültig entschieden. Schiedsort: Berlin. Schiedssprache: Deutsch.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§ 12 Joinder Agreement</w:t>
      </w:r>
    </w:p>
    <w:p>
      <w:pPr>
        <w:spacing w:line="259" w:lineRule="auto" w:after="60"/>
        <w:jc w:val="left"/>
      </w:pPr>
      <w:r>
        <w:t>Bei jeder Anteilsübertragung muss der Erwerber dieser Vereinbarung beitreten. Der ausscheidende Gesellschafter wird durch den neuen ersetzt.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§ 13 Schlussbestimmungen</w:t>
      </w:r>
    </w:p>
    <w:p>
      <w:pPr>
        <w:spacing w:line="259" w:lineRule="auto" w:after="60"/>
        <w:jc w:val="left"/>
      </w:pPr>
      <w:r>
        <w:t>(1) Sollte eine Bestimmung dieser Vereinbarung unwirksam sein, bleiben die übrigen Bestimmungen davon unberührt.</w:t>
      </w:r>
    </w:p>
    <w:p>
      <w:pPr>
        <w:spacing w:line="259" w:lineRule="auto" w:after="60"/>
        <w:jc w:val="left"/>
      </w:pPr>
      <w:r>
        <w:t>(2) Änderungen dieser Vereinbarung bedürfen der Zustimmung aller Vertragspartner.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t>Berlin, den 15.11.2025</w:t>
      </w:r>
    </w:p>
    <w:p>
      <w:pPr>
        <w:spacing w:line="259" w:lineRule="auto" w:after="60"/>
        <w:jc w:val="left"/>
      </w:pPr>
      <w:r>
        <w:t>Unterschriften:</w:t>
      </w:r>
    </w:p>
    <w:p>
      <w:pPr>
        <w:spacing w:line="259" w:lineRule="auto" w:after="60"/>
        <w:jc w:val="left"/>
      </w:pPr>
      <w:r>
        <w:t>_______________ Andrea Roesener</w:t>
      </w:r>
    </w:p>
    <w:p>
      <w:pPr>
        <w:spacing w:line="259" w:lineRule="auto" w:after="60"/>
        <w:jc w:val="left"/>
      </w:pPr>
      <w:r>
        <w:t>_______________ Bert Schmid</w:t>
      </w:r>
    </w:p>
    <w:p>
      <w:pPr>
        <w:spacing w:line="259" w:lineRule="auto" w:after="60"/>
        <w:jc w:val="left"/>
      </w:pPr>
      <w:r>
        <w:t>_______________ Christine Linnenbach</w:t>
      </w:r>
    </w:p>
    <w:p>
      <w:pPr>
        <w:spacing w:line="259" w:lineRule="auto" w:after="60"/>
        <w:jc w:val="left"/>
      </w:pPr>
      <w:r>
        <w:t>_______________ Stahlauge Ventures AG (vertreten durch Vorstand Dr. Felix Stahlauge)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Hagemann &amp; Westarp Rechtsanwälte | Gesellschaftsrechtliche Arbeitsakte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