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Cap Table — Roeschen Tech GmbH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Stand 1 — Bei Gründung (1. März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Nennwert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Vesting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Andrea Roesener (CEO)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0/48 (Cliff bis 28.02.2025)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Bert Schmid (CTO)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0/48 (Cliff bis 28.02.2025)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Christine Linnenbach (COO)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0/48 (Cliff bis 28.02.2025)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30.000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30.000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  <w:tc>
          <w:tcPr>
            <w:tcW w:type="dxa" w:w="1296"/>
          </w:tcPr>
          <w:p/>
        </w:tc>
      </w:tr>
    </w:tbl>
    <w:p>
      <w:pPr>
        <w:spacing w:line="259" w:lineRule="auto" w:after="60"/>
        <w:jc w:val="left"/>
      </w:pPr>
      <w:r>
        <w:t>Bewertung: Pre-Money 0 EUR (Gründung mit reinem Stammkapital), Post-Money 30.000 EUR.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Stand 2 — Nach Series A (15. November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Nennwert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Vesting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Investment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Liquidation Preference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Andrea Roesener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30,0 %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30,0 %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20/48 vested (~42 %)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Bert Schmid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30,0 %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30,0 %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20/48 vested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Christine Linnenbach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6.000 EUR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15,0 %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15,0 %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20/48 vested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Stahlauge Ventures AG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10.000 EUR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25,0 %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25,0 %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5.000.000 EUR (Aufgeld 4.990.000 EUR)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1,5x participating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40.000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40.000 EUR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100,0 %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100,0 %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</w:tbl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Series A Daten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Investment-Volumen: 5.000.000 EUR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Pre-Money: 15.000.000 EUR</w:t>
      </w:r>
    </w:p>
    <w:p>
      <w:pPr>
        <w:pStyle w:val="ListBullet"/>
        <w:spacing w:line="259" w:lineRule="auto" w:after="60"/>
      </w:pPr>
      <w:r>
        <w:t>Post-Money: 20.000.000 EUR</w:t>
      </w:r>
    </w:p>
    <w:p>
      <w:pPr>
        <w:pStyle w:val="ListBullet"/>
        <w:spacing w:line="259" w:lineRule="auto" w:after="60"/>
      </w:pPr>
      <w:r>
        <w:t>Stahlauge-Anteil: 25 %</w:t>
      </w:r>
    </w:p>
    <w:p>
      <w:pPr>
        <w:pStyle w:val="ListBullet"/>
        <w:spacing w:line="259" w:lineRule="auto" w:after="60"/>
      </w:pPr>
      <w:r>
        <w:t>Verwaesserung Gründer: 100 % -&gt; 75 %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Verteilung Gründer-Verwaesserung</w:t>
      </w:r>
    </w:p>
    <w:p>
      <w:pPr>
        <w:pStyle w:val="ListBullet"/>
        <w:spacing w:line="259" w:lineRule="auto" w:after="60"/>
      </w:pPr>
      <w:r>
        <w:t>Andrea: 40 % -&gt; 30 % (Verwaesserung 25 %)</w:t>
      </w:r>
    </w:p>
    <w:p>
      <w:pPr>
        <w:pStyle w:val="ListBullet"/>
        <w:spacing w:line="259" w:lineRule="auto" w:after="60"/>
      </w:pPr>
      <w:r>
        <w:t>Bert: 40 % -&gt; 30 % (Verwaesserung 25 %)</w:t>
      </w:r>
    </w:p>
    <w:p>
      <w:pPr>
        <w:pStyle w:val="ListBullet"/>
        <w:spacing w:line="259" w:lineRule="auto" w:after="60"/>
      </w:pPr>
      <w:r>
        <w:t>Christine: 20 % -&gt; 15 % (Verwaesserung 25 %)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Stand 3 — Nach geplanter 2. KE (Beschluss 18.06.2026; Eintragung beantragt; Streit anhängig)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Investment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Andrea Roesener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Bert Schmid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Christine Linnenbach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11,76 %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11,76 %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Stahlauge Ventures 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19,61 %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19,61 %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 (anteilig bestehend)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Pi Mu Holding GmbH</w:t>
            </w:r>
            <w:r>
              <w:rPr>
                <w:rFonts w:ascii="Times New Roman" w:hAnsi="Times New Roman"/>
                <w:sz w:val="20"/>
              </w:rPr>
              <w:t xml:space="preserve"> (geplant)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24,51 %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24,51 %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12.500.000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51.000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100,00 %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100,00 %</w:t>
            </w:r>
          </w:p>
        </w:tc>
        <w:tc>
          <w:tcPr>
            <w:tcW w:type="dxa" w:w="1512"/>
          </w:tcPr>
          <w:p/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2. KE Daten</w:t>
      </w:r>
    </w:p>
    <w:p>
      <w:pPr>
        <w:pStyle w:val="ListBullet"/>
        <w:spacing w:line="259" w:lineRule="auto" w:after="60"/>
      </w:pPr>
      <w:r>
        <w:t>Kapitalerhöhung: + 12.500 EUR (Pi Mu Holding GmbH zeichnet Class C)</w:t>
      </w:r>
    </w:p>
    <w:p>
      <w:pPr>
        <w:pStyle w:val="ListBullet"/>
        <w:spacing w:line="259" w:lineRule="auto" w:after="60"/>
      </w:pPr>
      <w:r>
        <w:t>Bezugsrechtsausschluss der bestehenden Gesellschafter</w:t>
      </w:r>
    </w:p>
    <w:p>
      <w:pPr>
        <w:pStyle w:val="ListBullet"/>
        <w:spacing w:line="259" w:lineRule="auto" w:after="60"/>
      </w:pPr>
      <w:r>
        <w:t>Investment-Volumen Pi Mu: 12.500.000 EUR (Aufgeld 12.487.500 EUR)</w:t>
      </w:r>
    </w:p>
    <w:p>
      <w:pPr>
        <w:pStyle w:val="ListBullet"/>
        <w:spacing w:line="259" w:lineRule="auto" w:after="60"/>
      </w:pPr>
      <w:r>
        <w:t>Pre-Money: 38.500.000 EUR</w:t>
      </w:r>
    </w:p>
    <w:p>
      <w:pPr>
        <w:pStyle w:val="ListBullet"/>
        <w:spacing w:line="259" w:lineRule="auto" w:after="60"/>
      </w:pPr>
      <w:r>
        <w:t>Post-Money: 51.000.000 EUR</w:t>
      </w:r>
    </w:p>
    <w:p>
      <w:pPr>
        <w:pStyle w:val="ListBullet"/>
        <w:spacing w:line="259" w:lineRule="auto" w:after="60"/>
      </w:pPr>
      <w:r>
        <w:t>Pi Mu-Anteil: 24,51 %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Verwaesserung Christine</w:t>
      </w:r>
    </w:p>
    <w:p>
      <w:pPr>
        <w:pStyle w:val="ListBullet"/>
        <w:spacing w:line="259" w:lineRule="auto" w:after="60"/>
      </w:pPr>
      <w:r>
        <w:t>Stand 2 (Series A): 15 % der Stimmen</w:t>
      </w:r>
    </w:p>
    <w:p>
      <w:pPr>
        <w:pStyle w:val="ListBullet"/>
        <w:spacing w:line="259" w:lineRule="auto" w:after="60"/>
      </w:pPr>
      <w:r>
        <w:t>Stand 3 (Pi Mu): 11,76 % der Stimmen</w:t>
      </w:r>
    </w:p>
    <w:p>
      <w:pPr>
        <w:spacing w:line="259" w:lineRule="auto" w:after="60"/>
        <w:jc w:val="left"/>
      </w:pPr>
      <w:r>
        <w:rPr>
          <w:b/>
        </w:rPr>
        <w:t>Verwaesserung absolut</w:t>
      </w:r>
      <w:r>
        <w:t>: 3,24 Prozentpunkte (= 21,6 % relativ)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Verwaesserung Andrea und Bert</w:t>
      </w:r>
    </w:p>
    <w:p>
      <w:pPr>
        <w:pStyle w:val="ListBullet"/>
        <w:spacing w:line="259" w:lineRule="auto" w:after="60"/>
      </w:pPr>
      <w:r>
        <w:t>Je 30 % -&gt; 23,53 % (= 21,6 % relativ)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Wert-Verlust Christine</w:t>
      </w:r>
    </w:p>
    <w:p>
      <w:pPr>
        <w:pStyle w:val="ListBullet"/>
        <w:spacing w:line="259" w:lineRule="auto" w:after="60"/>
      </w:pPr>
      <w:r>
        <w:t>Stand 2: 15 % von 20 Mio. = 3 Mio. EUR Anteilswert</w:t>
      </w:r>
    </w:p>
    <w:p>
      <w:pPr>
        <w:pStyle w:val="ListBullet"/>
        <w:spacing w:line="259" w:lineRule="auto" w:after="60"/>
      </w:pPr>
      <w:r>
        <w:t>Stand 3: 11,76 % von 51 Mio. = 6 Mio. EUR Anteilswert</w:t>
      </w:r>
    </w:p>
    <w:p>
      <w:pPr>
        <w:spacing w:line="259" w:lineRule="auto" w:after="60"/>
        <w:jc w:val="left"/>
      </w:pPr>
      <w:r>
        <w:t xml:space="preserve">Im </w:t>
      </w:r>
      <w:r>
        <w:rPr>
          <w:b/>
        </w:rPr>
        <w:t>Buchwert</w:t>
      </w:r>
      <w:r>
        <w:t xml:space="preserve"> gewinnt Christine — von 3 Mio. auf 6 Mio. EUR. </w:t>
      </w:r>
      <w:r>
        <w:rPr>
          <w:b/>
        </w:rPr>
        <w:t>Realwirtschaftlich</w:t>
      </w:r>
      <w:r>
        <w:t xml:space="preserve"> verliert sie aber </w:t>
      </w:r>
      <w:r>
        <w:rPr>
          <w:b/>
        </w:rPr>
        <w:t>Stimmrechts-Anteil</w:t>
      </w:r>
      <w:r>
        <w:t xml:space="preserve"> und damit </w:t>
      </w:r>
      <w:r>
        <w:rPr>
          <w:b/>
        </w:rPr>
        <w:t>Kontroll-Einfluss</w:t>
      </w:r>
      <w:r>
        <w:t>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Stand 4 — Hypothetisch, wenn Bezugsrecht nicht ausgeschlossen (Vergleichs-Szenario)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Andrea Roesener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14.875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29,17 % (Bezugsrecht ausgeübt anteilig)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Bert Schmid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14.875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29,17 %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Christine Linnenbach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7.438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14,58 %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Stahlauge Ventures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24,51 % (Bezugsrecht ausgeübt)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Restbetrag für Pi Mu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1.312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2,57 %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51.000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spacing w:line="259" w:lineRule="auto" w:after="60"/>
        <w:jc w:val="left"/>
      </w:pPr>
      <w:r>
        <w:t>In diesem Szenario hätten alle bestehenden Gesellschafter ihre Anteile anteilig durch Bareinlage erhalten können, und Pi Mu hätte nur den Restbetrag bekommen.</w:t>
      </w:r>
    </w:p>
    <w:p>
      <w:pPr>
        <w:spacing w:line="259" w:lineRule="auto" w:after="60"/>
        <w:jc w:val="left"/>
      </w:pPr>
      <w:r>
        <w:rPr>
          <w:b/>
        </w:rPr>
        <w:t>Kosten für Christine</w:t>
      </w:r>
      <w:r>
        <w:t>: 15 % × 12,5 Mio. = 1,875 Mio. EUR Bareinlage erforderlich gewesen.</w:t>
      </w:r>
    </w:p>
    <w:p>
      <w:pPr>
        <w:spacing w:line="259" w:lineRule="auto" w:after="60"/>
        <w:jc w:val="left"/>
      </w:pPr>
      <w:r>
        <w:rPr>
          <w:b/>
        </w:rPr>
        <w:t>Streitfrage</w:t>
      </w:r>
      <w:r>
        <w:t>: hat Christine wirtschaftlich diese Kapazität? Stahlauge und Gründer behaupten, nein.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Liquidation-Waterfall — Beispielrechnungen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Szenario A: Exit zu 30 Mio. EUR (in 5 Jahren) bei aktuellem Stand 2</w:t>
      </w:r>
    </w:p>
    <w:p>
      <w:pPr>
        <w:pStyle w:val="ListBullet"/>
        <w:spacing w:line="259" w:lineRule="auto" w:after="60"/>
      </w:pPr>
      <w:r>
        <w:t>Class B (Stahlauge): 1,5 × 5 Mio. = 7,5 Mio. (Preference)</w:t>
      </w:r>
    </w:p>
    <w:p>
      <w:pPr>
        <w:pStyle w:val="ListBullet"/>
        <w:spacing w:line="259" w:lineRule="auto" w:after="60"/>
      </w:pPr>
      <w:r>
        <w:t>Restbetrag: 22,5 Mio. (anteilig auf Anteile)</w:t>
      </w:r>
    </w:p>
    <w:p>
      <w:pPr>
        <w:pStyle w:val="ListBullet"/>
        <w:spacing w:line="259" w:lineRule="auto" w:after="60"/>
      </w:pPr>
      <w:r>
        <w:t>Andrea (30 %): 6,75 Mio.</w:t>
      </w:r>
    </w:p>
    <w:p>
      <w:pPr>
        <w:pStyle w:val="ListBullet"/>
        <w:spacing w:line="259" w:lineRule="auto" w:after="60"/>
      </w:pPr>
      <w:r>
        <w:t>Bert (30 %): 6,75 Mio.</w:t>
      </w:r>
    </w:p>
    <w:p>
      <w:pPr>
        <w:pStyle w:val="ListBullet"/>
        <w:spacing w:line="259" w:lineRule="auto" w:after="60"/>
      </w:pPr>
      <w:r>
        <w:t>Christine (15 %): 3,375 Mio.</w:t>
      </w:r>
    </w:p>
    <w:p>
      <w:pPr>
        <w:pStyle w:val="ListBullet"/>
        <w:spacing w:line="259" w:lineRule="auto" w:after="60"/>
      </w:pPr>
      <w:r>
        <w:t>Stahlauge zusätzlich (25 % anteilig, participating): 5,625 Mio.</w:t>
      </w:r>
    </w:p>
    <w:p>
      <w:pPr>
        <w:pStyle w:val="ListBullet"/>
        <w:spacing w:line="259" w:lineRule="auto" w:after="60"/>
      </w:pPr>
      <w:r>
        <w:rPr>
          <w:b/>
        </w:rPr>
        <w:t>Stahlauge gesamt: 13,125 Mio.</w:t>
      </w:r>
      <w:r>
        <w:t xml:space="preserve"> (= 2,625x Investment)</w:t>
      </w:r>
    </w:p>
    <w:p>
      <w:pPr>
        <w:pStyle w:val="ListBullet"/>
        <w:spacing w:line="259" w:lineRule="auto" w:after="60"/>
      </w:pPr>
      <w:r>
        <w:rPr>
          <w:b/>
        </w:rPr>
        <w:t>Andrea gesamt: 6,75 Mio.</w:t>
      </w:r>
    </w:p>
    <w:p>
      <w:pPr>
        <w:pStyle w:val="ListBullet"/>
        <w:spacing w:line="259" w:lineRule="auto" w:after="60"/>
      </w:pPr>
      <w:r>
        <w:rPr>
          <w:b/>
        </w:rPr>
        <w:t>Bert gesamt: 6,75 Mio.</w:t>
      </w:r>
    </w:p>
    <w:p>
      <w:pPr>
        <w:pStyle w:val="ListBullet"/>
        <w:spacing w:line="259" w:lineRule="auto" w:after="60"/>
      </w:pPr>
      <w:r>
        <w:rPr>
          <w:b/>
        </w:rPr>
        <w:t>Christine gesamt: 3,375 Mio.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Szenario B: Exit zu 30 Mio. EUR bei Stand 3 (nach 2. KE)</w:t>
      </w:r>
    </w:p>
    <w:p>
      <w:pPr>
        <w:pStyle w:val="ListBullet"/>
        <w:spacing w:line="259" w:lineRule="auto" w:after="60"/>
      </w:pPr>
      <w:r>
        <w:t>Class C (Pi Mu, Liquidation Preference noch zu vereinbaren — angenommen 1x non-participating): 12,5 Mio. (Preference)</w:t>
      </w:r>
    </w:p>
    <w:p>
      <w:pPr>
        <w:pStyle w:val="ListBullet"/>
        <w:spacing w:line="259" w:lineRule="auto" w:after="60"/>
      </w:pPr>
      <w:r>
        <w:t>Class B (Stahlauge): 1,5 × 5 Mio. = 7,5 Mio. (Preference)</w:t>
      </w:r>
    </w:p>
    <w:p>
      <w:pPr>
        <w:pStyle w:val="ListBullet"/>
        <w:spacing w:line="259" w:lineRule="auto" w:after="60"/>
      </w:pPr>
      <w:r>
        <w:t>Restbetrag: 30 - 12,5 - 7,5 = 10 Mio.</w:t>
      </w:r>
    </w:p>
    <w:p>
      <w:pPr>
        <w:pStyle w:val="ListBullet"/>
        <w:spacing w:line="259" w:lineRule="auto" w:after="60"/>
      </w:pPr>
      <w:r>
        <w:t>Andrea (23,53 %): 2,353 Mio.</w:t>
      </w:r>
    </w:p>
    <w:p>
      <w:pPr>
        <w:pStyle w:val="ListBullet"/>
        <w:spacing w:line="259" w:lineRule="auto" w:after="60"/>
      </w:pPr>
      <w:r>
        <w:t>Bert (23,53 %): 2,353 Mio.</w:t>
      </w:r>
    </w:p>
    <w:p>
      <w:pPr>
        <w:pStyle w:val="ListBullet"/>
        <w:spacing w:line="259" w:lineRule="auto" w:after="60"/>
      </w:pPr>
      <w:r>
        <w:t>Christine (11,76 %): 1,176 Mio.</w:t>
      </w:r>
    </w:p>
    <w:p>
      <w:pPr>
        <w:pStyle w:val="ListBullet"/>
        <w:spacing w:line="259" w:lineRule="auto" w:after="60"/>
      </w:pPr>
      <w:r>
        <w:t>Stahlauge zusätzlich (19,61 % participating): 1,961 Mio.</w:t>
      </w:r>
    </w:p>
    <w:p>
      <w:pPr>
        <w:pStyle w:val="ListBullet"/>
        <w:spacing w:line="259" w:lineRule="auto" w:after="60"/>
      </w:pPr>
      <w:r>
        <w:t>Pi Mu zusätzlich (24,51 % non-participating — keine zusätzliche Beteiligung): 0</w:t>
      </w:r>
    </w:p>
    <w:p>
      <w:pPr>
        <w:pStyle w:val="ListBullet"/>
        <w:spacing w:line="259" w:lineRule="auto" w:after="60"/>
      </w:pPr>
      <w:r>
        <w:rPr>
          <w:b/>
        </w:rPr>
        <w:t>Christine gesamt: 1,176 Mio.</w:t>
      </w:r>
      <w:r>
        <w:t xml:space="preserve"> (vorher 3,375 Mio. ohne 2. KE)</w:t>
      </w:r>
    </w:p>
    <w:p>
      <w:pPr>
        <w:spacing w:line="259" w:lineRule="auto" w:after="60"/>
        <w:jc w:val="left"/>
      </w:pPr>
      <w:r>
        <w:rPr>
          <w:b/>
        </w:rPr>
        <w:t>Verlust Christine durch 2. KE</w:t>
      </w:r>
      <w:r>
        <w:t>: 2,2 Mio. EUR im 30-Mio.-Exit-Szenario.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Streit-Anlass aus Christines Sicht</w:t>
      </w:r>
    </w:p>
    <w:p>
      <w:pPr>
        <w:pStyle w:val="ListNumber"/>
        <w:spacing w:line="259" w:lineRule="auto" w:after="60"/>
      </w:pPr>
      <w:r>
        <w:t>Verwaesserung von 15 % auf 11,76 % (relativ -21,6 %)</w:t>
      </w:r>
    </w:p>
    <w:p>
      <w:pPr>
        <w:pStyle w:val="ListNumber"/>
        <w:spacing w:line="259" w:lineRule="auto" w:after="60"/>
      </w:pPr>
      <w:r>
        <w:t>Stimmrechts-Verlust unter 12 % -&gt; bei vielen Mehrheits-Schwellen nicht mehr relevant</w:t>
      </w:r>
    </w:p>
    <w:p>
      <w:pPr>
        <w:pStyle w:val="ListNumber"/>
        <w:spacing w:line="259" w:lineRule="auto" w:after="60"/>
      </w:pPr>
      <w:r>
        <w:t>Im Liquidation-Waterfall: Verlust von 2,2 Mio. EUR in mittleren Exit-Szenarien</w:t>
      </w:r>
    </w:p>
    <w:p>
      <w:pPr>
        <w:pStyle w:val="ListNumber"/>
        <w:spacing w:line="259" w:lineRule="auto" w:after="60"/>
      </w:pPr>
      <w:r>
        <w:t xml:space="preserve">Sachliche Rechtfertigung des Bezugsrechtsausschlusses fraglich (Pi Mu bringt </w:t>
      </w:r>
      <w:r>
        <w:rPr>
          <w:b/>
        </w:rPr>
        <w:t>keine</w:t>
      </w:r>
      <w:r>
        <w:t xml:space="preserve"> offenkundige strategische Expertise — sondern nur Kapital)</w:t>
      </w:r>
    </w:p>
    <w:p>
      <w:pPr>
        <w:pStyle w:val="ListNumber"/>
        <w:spacing w:line="259" w:lineRule="auto" w:after="60"/>
      </w:pPr>
      <w:r>
        <w:t>Christine hätte anteiliges Bezugsrecht ausüben wollen (zumindest für kleineren Betrag) — wurde nicht angefragt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