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Beirat-Schlichtungs-Empfehlung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Roeschen Tech GmbH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Beirat</w:t>
      </w:r>
      <w:r>
        <w:rPr>
          <w:rFonts w:ascii="Times New Roman" w:hAnsi="Times New Roman"/>
          <w:b/>
          <w:sz w:val="22"/>
        </w:rPr>
        <w:t xml:space="preserve"> der Roeschen Tech GmbH:</w:t>
      </w:r>
    </w:p>
    <w:p>
      <w:pPr>
        <w:pStyle w:val="ListBullet"/>
        <w:spacing w:line="259" w:lineRule="auto" w:after="60"/>
      </w:pPr>
      <w:r>
        <w:t>Prof. Dr. Hannelore Bornhardt-Wiese (Vorsitzende, unabhängig, Wirtschaftsprüfer im Ruhestand)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Dipl.-Ing. Klaus Eitelfried (Branchen-Experte KI, ehemaliger CTO XYZ AG)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Dr. Sabine Wiedemann (Anwältin, unabhängig)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</w:t>
      </w:r>
      <w:r>
        <w:rPr>
          <w:rFonts w:ascii="Times New Roman" w:hAnsi="Times New Roman"/>
          <w:b w:val="0"/>
          <w:i w:val="0"/>
          <w:sz w:val="22"/>
        </w:rPr>
        <w:t>: 28. Juli 2026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An die Gesellschafter der Roeschen Tech GmbH</w:t>
      </w:r>
    </w:p>
    <w:p>
      <w:pPr>
        <w:spacing w:line="259" w:lineRule="auto" w:after="60"/>
        <w:jc w:val="left"/>
      </w:pPr>
      <w:r>
        <w:t>Sehr geehrte Damen und Herren,</w:t>
      </w:r>
    </w:p>
    <w:p>
      <w:pPr>
        <w:spacing w:line="259" w:lineRule="auto" w:after="60"/>
        <w:jc w:val="left"/>
      </w:pPr>
      <w:r>
        <w:t>aufgrund der Anrufung des Beirats durch die Gesellschafterin Christine Linnenbach gemäß § 12 (3) c) der Satzung und § 11 (1) des Shareholder Agreement (Schlichtungsklausel) hat sich der Beirat in einer Sondersitzung am 28. Juli 2026 mit dem Streit über die Kapitalerhöhung vom 18. Juni 2026 befasst.</w:t>
      </w:r>
    </w:p>
    <w:p>
      <w:pPr>
        <w:spacing w:line="259" w:lineRule="auto" w:after="60"/>
        <w:jc w:val="left"/>
      </w:pPr>
      <w:r>
        <w:t>Der Beirat hat:</w:t>
      </w:r>
    </w:p>
    <w:p>
      <w:pPr>
        <w:pStyle w:val="ListBullet"/>
        <w:spacing w:line="259" w:lineRule="auto" w:after="60"/>
      </w:pPr>
      <w:r>
        <w:t>die schriftlichen Unterlagen ausgewertet (Satzung, SHA, Subscription Agreement, GV-Protokoll, Klageschrift, Eilantrag)</w:t>
      </w:r>
    </w:p>
    <w:p>
      <w:pPr>
        <w:pStyle w:val="ListBullet"/>
        <w:spacing w:line="259" w:lineRule="auto" w:after="60"/>
      </w:pPr>
      <w:r>
        <w:t>die Beteiligten mündlich angehört (Christine Linnenbach, Andrea Roesener, Bert Schmid, Vorstand Stahlauge AG, Vertreter Pi Mu Holding GmbH)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Bewertung des Beirats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1. Sachliche Rechtfertigung des Bezugsrechtsausschlusses</w:t>
      </w:r>
    </w:p>
    <w:p>
      <w:pPr>
        <w:spacing w:line="259" w:lineRule="auto" w:after="60"/>
        <w:jc w:val="left"/>
      </w:pPr>
      <w:r>
        <w:t xml:space="preserve">Der Beirat erkennt </w:t>
      </w:r>
      <w:r>
        <w:rPr>
          <w:b/>
        </w:rPr>
        <w:t>gemischte Befunde</w:t>
      </w:r>
      <w:r>
        <w:t>:</w:t>
      </w:r>
    </w:p>
    <w:p>
      <w:pPr>
        <w:pStyle w:val="ListBullet"/>
        <w:spacing w:line="259" w:lineRule="auto" w:after="60"/>
      </w:pPr>
      <w:r>
        <w:t>Pi Mu Holding ist tatsächlich überwiegend Finanzinvestor.</w:t>
      </w:r>
    </w:p>
    <w:p>
      <w:pPr>
        <w:pStyle w:val="ListBullet"/>
        <w:spacing w:line="259" w:lineRule="auto" w:after="60"/>
      </w:pPr>
      <w:r>
        <w:t>Allerdings: Pi Mu Holding bringt Zugang zum Industrie-KI-Markt durch ein neueres Beteiligungs-Portfolio in den Jahren 2024-2026.</w:t>
      </w:r>
    </w:p>
    <w:p>
      <w:pPr>
        <w:pStyle w:val="ListBullet"/>
        <w:spacing w:line="259" w:lineRule="auto" w:after="60"/>
      </w:pPr>
      <w:r>
        <w:t xml:space="preserve">Die Bewertung 38,5 Mio. Pre-Money ist im Marktvergleich </w:t>
      </w:r>
      <w:r>
        <w:rPr>
          <w:b/>
        </w:rPr>
        <w:t>angemessen</w:t>
      </w:r>
      <w:r>
        <w:t xml:space="preserve"> (Beirat hat Vergleichs-Transaktionen geprüft).</w:t>
      </w:r>
    </w:p>
    <w:p>
      <w:pPr>
        <w:pStyle w:val="ListBullet"/>
        <w:spacing w:line="259" w:lineRule="auto" w:after="60"/>
      </w:pPr>
      <w:r>
        <w:t xml:space="preserve">Die strategischen Beiträge sind </w:t>
      </w:r>
      <w:r>
        <w:rPr>
          <w:b/>
        </w:rPr>
        <w:t>vorhanden, aber nicht so stark wie behauptet</w:t>
      </w:r>
      <w:r>
        <w:t>.</w:t>
      </w:r>
    </w:p>
    <w:p>
      <w:pPr>
        <w:spacing w:line="259" w:lineRule="auto" w:after="60"/>
        <w:jc w:val="left"/>
      </w:pPr>
      <w:r>
        <w:t xml:space="preserve">Der Beirat ist der Auffassung, dass die sachliche Rechtfertigung </w:t>
      </w:r>
      <w:r>
        <w:rPr>
          <w:b/>
        </w:rPr>
        <w:t>knapp gegeben</w:t>
      </w:r>
      <w:r>
        <w:t xml:space="preserve"> ist — aber nicht ohne weiteres. Die Geschäftsführung hätte transparenter argumentieren müssen.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 Treuepflicht der Mehrheits-Gesellschafter</w:t>
      </w:r>
    </w:p>
    <w:p>
      <w:pPr>
        <w:spacing w:line="259" w:lineRule="auto" w:after="60"/>
        <w:jc w:val="left"/>
      </w:pPr>
      <w:r>
        <w:t xml:space="preserve">Der Beirat sieht </w:t>
      </w:r>
      <w:r>
        <w:rPr>
          <w:b/>
        </w:rPr>
        <w:t>Verbesserungs-Bedarf</w:t>
      </w:r>
      <w:r>
        <w:t>:</w:t>
      </w:r>
    </w:p>
    <w:p>
      <w:pPr>
        <w:pStyle w:val="ListBullet"/>
        <w:spacing w:line="259" w:lineRule="auto" w:after="60"/>
      </w:pPr>
      <w:r>
        <w:t>Die Klägerin Christine hatte explizit ihre Bezugs-Bereitschaft für einen anteiligen Beitrag erklärt.</w:t>
      </w:r>
    </w:p>
    <w:p>
      <w:pPr>
        <w:pStyle w:val="ListBullet"/>
        <w:spacing w:line="259" w:lineRule="auto" w:after="60"/>
      </w:pPr>
      <w:r>
        <w:t>Diese Möglichkeit wurde nicht ernsthaft geprüft.</w:t>
      </w:r>
    </w:p>
    <w:p>
      <w:pPr>
        <w:pStyle w:val="ListBullet"/>
        <w:spacing w:line="259" w:lineRule="auto" w:after="60"/>
      </w:pPr>
      <w:r>
        <w:t xml:space="preserve">Eine Mischvariante (Pi Mu zeichnet </w:t>
      </w:r>
      <w:r>
        <w:rPr>
          <w:b/>
        </w:rPr>
        <w:t>anteilig</w:t>
      </w:r>
      <w:r>
        <w:t xml:space="preserve"> + Christine zeichnet </w:t>
      </w:r>
      <w:r>
        <w:rPr>
          <w:b/>
        </w:rPr>
        <w:t>anteilig</w:t>
      </w:r>
      <w:r>
        <w:t xml:space="preserve"> + Andrea und Bert nehmen Vorzug auf nicht-ausgeübte Bezugsrechte) wäre möglich gewesen.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 Vorläufige Empfehlung</w:t>
      </w:r>
    </w:p>
    <w:p>
      <w:pPr>
        <w:spacing w:line="259" w:lineRule="auto" w:after="60"/>
        <w:jc w:val="left"/>
      </w:pPr>
      <w:r>
        <w:t xml:space="preserve">Der Beirat empfiehlt </w:t>
      </w:r>
      <w:r>
        <w:rPr>
          <w:b/>
        </w:rPr>
        <w:t>Vergleich</w:t>
      </w:r>
      <w:r>
        <w:t xml:space="preserve"> auf folgender Basis: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Vergleichs-Vorschlag</w:t>
      </w:r>
    </w:p>
    <w:p>
      <w:pPr>
        <w:spacing w:line="259" w:lineRule="auto" w:after="60"/>
        <w:jc w:val="left"/>
      </w:pPr>
      <w:r>
        <w:t xml:space="preserve">a) </w:t>
      </w:r>
      <w:r>
        <w:rPr>
          <w:b/>
        </w:rPr>
        <w:t>Pi Mu Holding GmbH zeichnet 10.000 Anteile</w:t>
      </w:r>
      <w:r>
        <w:t xml:space="preserve"> statt 12.500 Anteile (Investment 10 Mio. statt 12,5 Mio.; Pre-Money bleibt 38,5 Mio.; Post-Money sinkt auf 48,5 Mio.)</w:t>
      </w:r>
    </w:p>
    <w:p>
      <w:pPr>
        <w:spacing w:line="259" w:lineRule="auto" w:after="60"/>
        <w:jc w:val="left"/>
      </w:pPr>
      <w:r>
        <w:t xml:space="preserve">b) </w:t>
      </w:r>
      <w:r>
        <w:rPr>
          <w:b/>
        </w:rPr>
        <w:t>Christine Linnenbach zeichnet 2.500 Anteile</w:t>
      </w:r>
      <w:r>
        <w:t xml:space="preserve"> durch Bareinlage 2.500 EUR Nennwert + Aufgeld auf gleichem Preisniveau wie Pi Mu (999 EUR/Anteil) = Gesamtinvestment 2,5 Mio. EUR</w:t>
      </w:r>
    </w:p>
    <w:p>
      <w:pPr>
        <w:spacing w:line="259" w:lineRule="auto" w:after="60"/>
        <w:jc w:val="left"/>
      </w:pPr>
      <w:r>
        <w:t>c) Die Anteilshöhen nach Vergleich: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Gesellschafter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Anteile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Andrea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23,53 %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23,53 %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Christine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8.500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16,67 % (statt 11,76 %)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Stahlauge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19,61 %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Pi Mu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19,61 %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51.000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100 %</w:t>
            </w:r>
          </w:p>
        </w:tc>
      </w:tr>
    </w:tbl>
    <w:p>
      <w:pPr>
        <w:spacing w:line="259" w:lineRule="auto" w:after="60"/>
        <w:jc w:val="left"/>
      </w:pPr>
      <w:r>
        <w:t xml:space="preserve">d) </w:t>
      </w:r>
      <w:r>
        <w:rPr>
          <w:b/>
        </w:rPr>
        <w:t>Erleichterung für Christine</w:t>
      </w:r>
      <w:r>
        <w:t>: Bareinlage erfolgt in zwei Raten:</w:t>
      </w:r>
    </w:p>
    <w:p>
      <w:pPr>
        <w:pStyle w:val="ListBullet"/>
        <w:spacing w:line="259" w:lineRule="auto" w:after="60"/>
      </w:pPr>
      <w:r>
        <w:t>1. Mio. binnen 30 Tagen</w:t>
      </w:r>
    </w:p>
    <w:p>
      <w:pPr>
        <w:pStyle w:val="ListBullet"/>
        <w:spacing w:line="259" w:lineRule="auto" w:after="60"/>
      </w:pPr>
      <w:r>
        <w:t>1,5 Mio. binnen 90 Tagen</w:t>
      </w:r>
    </w:p>
    <w:p>
      <w:pPr>
        <w:spacing w:line="259" w:lineRule="auto" w:after="60"/>
        <w:jc w:val="left"/>
      </w:pPr>
      <w:r>
        <w:t xml:space="preserve">e) </w:t>
      </w:r>
      <w:r>
        <w:rPr>
          <w:b/>
        </w:rPr>
        <w:t>Anfechtungsklage und Eilantrag werden zurückgenommen</w:t>
      </w:r>
      <w:r>
        <w:t xml:space="preserve"> nach Eintragung der neuen Anteilskonstellation.</w:t>
      </w:r>
    </w:p>
    <w:p>
      <w:pPr>
        <w:spacing w:line="259" w:lineRule="auto" w:after="60"/>
        <w:jc w:val="left"/>
      </w:pPr>
      <w:r>
        <w:t xml:space="preserve">f) </w:t>
      </w:r>
      <w:r>
        <w:rPr>
          <w:b/>
        </w:rPr>
        <w:t>Klare Kommunikations-Richtlinien</w:t>
      </w:r>
      <w:r>
        <w:t xml:space="preserve"> für künftige Kapitalerhöhungen: explizite Anfrage an Minderheits-Gesellschafter mit Frist und Bezugs-Optionen.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Konsequenz bei Ablehnung des Vergleichs</w:t>
      </w:r>
    </w:p>
    <w:p>
      <w:pPr>
        <w:spacing w:line="259" w:lineRule="auto" w:after="60"/>
        <w:jc w:val="left"/>
      </w:pPr>
      <w:r>
        <w:t xml:space="preserve">Falls die Gesellschafter den Vergleich nicht innerhalb von </w:t>
      </w:r>
      <w:r>
        <w:rPr>
          <w:b/>
        </w:rPr>
        <w:t>14 Tagen</w:t>
      </w:r>
      <w:r>
        <w:t xml:space="preserve"> annehmen, wird der Beirat eine </w:t>
      </w:r>
      <w:r>
        <w:rPr>
          <w:b/>
        </w:rPr>
        <w:t>abschliessende Stellungnahme</w:t>
      </w:r>
      <w:r>
        <w:t xml:space="preserve"> formulieren, die das Hauptverfahren begleitet.</w:t>
      </w:r>
    </w:p>
    <w:p>
      <w:pPr>
        <w:spacing w:line="259" w:lineRule="auto" w:after="60"/>
        <w:jc w:val="left"/>
      </w:pPr>
      <w:r>
        <w:t xml:space="preserve">Der Beirat weist ausdrücklich darauf hin, dass die Schlichtungs-Empfehlung </w:t>
      </w:r>
      <w:r>
        <w:rPr>
          <w:b/>
        </w:rPr>
        <w:t>nicht bindend</w:t>
      </w:r>
      <w:r>
        <w:t xml:space="preserve"> ist (§ 12 (3) c) Satzung), aber die Pflicht zur Anrufung des Beirats vor Klageerhebung (§ 11 (1) SHA) bestand und gewahrt wurde.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Hinweis</w:t>
      </w:r>
    </w:p>
    <w:p>
      <w:pPr>
        <w:spacing w:line="259" w:lineRule="auto" w:after="60"/>
        <w:jc w:val="left"/>
      </w:pPr>
      <w:r>
        <w:t>Sollte der Streit weiter eskalieren, weist der Beirat auf folgende Risiken hin:</w:t>
      </w:r>
    </w:p>
    <w:p>
      <w:pPr>
        <w:pStyle w:val="ListBullet"/>
        <w:spacing w:line="259" w:lineRule="auto" w:after="60"/>
      </w:pPr>
      <w:r>
        <w:rPr>
          <w:b/>
        </w:rPr>
        <w:t>Reputations-Risiko</w:t>
      </w:r>
      <w:r>
        <w:t xml:space="preserve"> für alle Beteiligten</w:t>
      </w:r>
    </w:p>
    <w:p>
      <w:pPr>
        <w:pStyle w:val="ListBullet"/>
        <w:spacing w:line="259" w:lineRule="auto" w:after="60"/>
      </w:pPr>
      <w:r>
        <w:rPr>
          <w:b/>
        </w:rPr>
        <w:t>Verzögerung der Pi-Mu-Investition</w:t>
      </w:r>
      <w:r>
        <w:t xml:space="preserve"> bei laufender Klage (Pi Mu hat "Material Adverse Change"-Klausel)</w:t>
      </w:r>
    </w:p>
    <w:p>
      <w:pPr>
        <w:pStyle w:val="ListBullet"/>
        <w:spacing w:line="259" w:lineRule="auto" w:after="60"/>
      </w:pPr>
      <w:r>
        <w:rPr>
          <w:b/>
        </w:rPr>
        <w:t>Hohe Gerichtskosten</w:t>
      </w:r>
      <w:r>
        <w:t xml:space="preserve"> und Streitwert-Gebühren</w:t>
      </w:r>
    </w:p>
    <w:p>
      <w:pPr>
        <w:pStyle w:val="ListBullet"/>
        <w:spacing w:line="259" w:lineRule="auto" w:after="60"/>
      </w:pPr>
      <w:r>
        <w:rPr>
          <w:b/>
        </w:rPr>
        <w:t>Belastung der Geschäftsführer</w:t>
      </w:r>
      <w:r>
        <w:t xml:space="preserve"> durch Anfechtung der Beschlüsse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t>Berlin, den 28. Juli 2026</w:t>
      </w:r>
    </w:p>
    <w:p>
      <w:pPr>
        <w:spacing w:line="259" w:lineRule="auto" w:after="60"/>
        <w:jc w:val="left"/>
      </w:pPr>
      <w:r>
        <w:t>_______________ Prof. Dr. Hannelore Bornhardt-Wiese</w:t>
      </w:r>
    </w:p>
    <w:p>
      <w:pPr>
        <w:spacing w:line="259" w:lineRule="auto" w:after="60"/>
        <w:jc w:val="left"/>
      </w:pPr>
      <w:r>
        <w:t>Beiratsvorsitzende</w:t>
      </w:r>
    </w:p>
    <w:p>
      <w:pPr>
        <w:spacing w:line="259" w:lineRule="auto" w:after="60"/>
        <w:jc w:val="left"/>
      </w:pPr>
      <w:r>
        <w:t>_______________ Dipl.-Ing. Klaus Eitelfried</w:t>
      </w:r>
    </w:p>
    <w:p>
      <w:pPr>
        <w:spacing w:line="259" w:lineRule="auto" w:after="60"/>
        <w:jc w:val="left"/>
      </w:pPr>
      <w:r>
        <w:t>Beiratsmitglied</w:t>
      </w:r>
    </w:p>
    <w:p>
      <w:pPr>
        <w:spacing w:line="259" w:lineRule="auto" w:after="60"/>
        <w:jc w:val="left"/>
      </w:pPr>
      <w:r>
        <w:t>_______________ Dr. Sabine Wiedemann</w:t>
      </w:r>
    </w:p>
    <w:p>
      <w:pPr>
        <w:spacing w:line="259" w:lineRule="auto" w:after="60"/>
        <w:jc w:val="left"/>
      </w:pPr>
      <w:r>
        <w:t>Beiratsmitglied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Hagemann &amp; Westarp Rechtsanwälte | Gesellschaftsrechtliche Arbeitsakte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