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Prüfvermerk — Beirat, Bezugsrechtsausschluss und Kapitalerhöhung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Mandat:</w:t>
      </w:r>
      <w:r>
        <w:rPr>
          <w:rFonts w:ascii="Times New Roman" w:hAnsi="Times New Roman"/>
          <w:b/>
          <w:sz w:val="22"/>
        </w:rPr>
        <w:t xml:space="preserve"> Roeschen Tech GmbH, Gesellschafterstreit zweite Kapitalerhöhung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Bearbeitungsstand:</w:t>
      </w:r>
      <w:r>
        <w:rPr>
          <w:rFonts w:ascii="Times New Roman" w:hAnsi="Times New Roman"/>
          <w:b/>
          <w:sz w:val="22"/>
        </w:rPr>
        <w:t xml:space="preserve"> 18.04.2026, 19:20 Uhr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Bearbeitung:</w:t>
      </w:r>
      <w:r>
        <w:rPr>
          <w:rFonts w:ascii="Times New Roman" w:hAnsi="Times New Roman"/>
          <w:b/>
          <w:sz w:val="22"/>
        </w:rPr>
        <w:t xml:space="preserve"> internes Arbeitspapier Corporate Litigation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Aktenlage in Bearbeitungsreihenfolge</w:t>
      </w:r>
    </w:p>
    <w:p>
      <w:pPr>
        <w:pStyle w:val="ListNumber"/>
        <w:spacing w:line="259" w:lineRule="auto" w:after="60"/>
      </w:pPr>
      <w:r>
        <w:t>Satzung und Beteiligungsrechte, insbesondere B-Shares Stahlauge Ventures AG.</w:t>
      </w:r>
    </w:p>
    <w:p>
      <w:pPr>
        <w:pStyle w:val="ListNumber"/>
        <w:spacing w:line="259" w:lineRule="auto" w:after="60"/>
      </w:pPr>
      <w:r>
        <w:t>Shareholder Agreement mit Investorenschutz, Informationsrechten und Beirat.</w:t>
      </w:r>
    </w:p>
    <w:p>
      <w:pPr>
        <w:pStyle w:val="ListNumber"/>
        <w:spacing w:line="259" w:lineRule="auto" w:after="60"/>
      </w:pPr>
      <w:r>
        <w:t>Cap Table vor Series A, nach Series A und nach geplanter zweiter Kapitalerhöhung.</w:t>
      </w:r>
    </w:p>
    <w:p>
      <w:pPr>
        <w:pStyle w:val="ListNumber"/>
        <w:spacing w:line="259" w:lineRule="auto" w:after="60"/>
      </w:pPr>
      <w:r>
        <w:t>Einladung und Tagesordnung zur Gesellschafterversammlung.</w:t>
      </w:r>
    </w:p>
    <w:p>
      <w:pPr>
        <w:pStyle w:val="ListNumber"/>
        <w:spacing w:line="259" w:lineRule="auto" w:after="60"/>
      </w:pPr>
      <w:r>
        <w:t>Protokoll der Gesellschafterversammlung mit Beschlussfassung.</w:t>
      </w:r>
    </w:p>
    <w:p>
      <w:pPr>
        <w:pStyle w:val="ListNumber"/>
        <w:spacing w:line="259" w:lineRule="auto" w:after="60"/>
      </w:pPr>
      <w:r>
        <w:t>Anfechtungsklage und Eilantrag Christine.</w:t>
      </w:r>
    </w:p>
    <w:p>
      <w:pPr>
        <w:pStyle w:val="ListNumber"/>
        <w:spacing w:line="259" w:lineRule="auto" w:after="60"/>
      </w:pPr>
      <w:r>
        <w:t>Registergerichtliche Korrespondenz zur Anmeldung.</w:t>
      </w:r>
    </w:p>
    <w:p>
      <w:pPr>
        <w:pStyle w:val="ListNumber"/>
        <w:spacing w:line="259" w:lineRule="auto" w:after="60"/>
      </w:pPr>
      <w:r>
        <w:t>Beirat-Schlichtungsempfehlung.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Sofortfragen</w:t>
      </w:r>
    </w:p>
    <w:p>
      <w:pPr>
        <w:pStyle w:val="ListBullet"/>
        <w:spacing w:line="259" w:lineRule="auto" w:after="60"/>
      </w:pPr>
      <w:r>
        <w:t>Ist der Bezugsrechtsausschluss bei der zweiten Kapitalerhöhung sachlich tragfähig begründet?</w:t>
      </w:r>
    </w:p>
    <w:p>
      <w:pPr>
        <w:pStyle w:val="ListBullet"/>
        <w:spacing w:line="259" w:lineRule="auto" w:after="60"/>
      </w:pPr>
      <w:r>
        <w:t>Welche konkrete Verwässerung trifft Christine im Vergleich zur Finanzierungslücke?</w:t>
      </w:r>
    </w:p>
    <w:p>
      <w:pPr>
        <w:pStyle w:val="ListBullet"/>
        <w:spacing w:line="259" w:lineRule="auto" w:after="60"/>
      </w:pPr>
      <w:r>
        <w:t>Sind Informationsrechte vor der Versammlung ordnungsgemäß erfüllt worden?</w:t>
      </w:r>
    </w:p>
    <w:p>
      <w:pPr>
        <w:pStyle w:val="ListBullet"/>
        <w:spacing w:line="259" w:lineRule="auto" w:after="60"/>
      </w:pPr>
      <w:r>
        <w:t>Reicht die strategische Begründung für Pi Mu Holding GmbH über reine Liquiditätszufuhr hinaus?</w:t>
      </w:r>
    </w:p>
    <w:p>
      <w:pPr>
        <w:pStyle w:val="ListBullet"/>
        <w:spacing w:line="259" w:lineRule="auto" w:after="60"/>
      </w:pPr>
      <w:r>
        <w:t>Besteht ein registerrechtliches Vollzugsrisiko, bevor über Eilrechtsschutz entschieden ist?</w:t>
      </w:r>
    </w:p>
    <w:p>
      <w:pPr>
        <w:pStyle w:val="ListBullet"/>
        <w:spacing w:line="259" w:lineRule="auto" w:after="60"/>
      </w:pPr>
      <w:r>
        <w:t>Kann der Beiratsvorschlag wirtschaftlich eine Lösung schaffen, ohne die Beschlussmängel zu verdecken?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Rechenpunkte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Benötigte Unterlage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Offene Frage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Verwässerung Christine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Cap Table Stand 2 und Stand 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Prozentuale und wirtschaftliche Belastung sauber nebeneinander darstellen.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Liquidation Preference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SHA, Series-A-Terms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Exit-Szenario 30 Mio. EUR einmal mit und einmal ohne zweite Kapitalerhöhung rechnen.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Pi-Mu-Bewertung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Term Sheet / Investor Memo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Pre-Money plausibel oder Sondervorteil für Mehrheit?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Bezugsrecht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Satzung, Einladung, Protokoll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Wurde der Ausschluss präzise genug angekündigt und begründet?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4. Streitstand für Schriftsatz</w:t>
      </w:r>
    </w:p>
    <w:p>
      <w:pPr>
        <w:spacing w:line="259" w:lineRule="auto" w:after="60"/>
        <w:jc w:val="left"/>
      </w:pPr>
      <w:r>
        <w:rPr>
          <w:b/>
        </w:rPr>
        <w:t>Position Christine:</w:t>
      </w:r>
      <w:r>
        <w:t xml:space="preserve"> Der Ausschluss ihres Bezugsrechts ist unverhältnismäßig, weil die Gesellschaft zwar Kapital braucht, aber mildere Mittel offenstanden: quotale Beteiligung, Mischlösung mit verkleinertem Pi-Mu-Anteil, Bridge-Finanzierung oder eine an Bedingungen geknüpfte Tranche. Die strategischen Beiträge von Pi Mu sind bislang nur schlagwortartig dokumentiert.</w:t>
      </w:r>
    </w:p>
    <w:p>
      <w:pPr>
        <w:spacing w:line="259" w:lineRule="auto" w:after="60"/>
        <w:jc w:val="left"/>
      </w:pPr>
      <w:r>
        <w:rPr>
          <w:b/>
        </w:rPr>
        <w:t>Position Geschäftsführung/Mehrheit:</w:t>
      </w:r>
      <w:r>
        <w:t xml:space="preserve"> Die Gesellschaft benötigt kurzfristig Kapital und Marktzugang. Pi Mu soll Vertrieb, Pilotkunden und regulatorische Kontakte einbringen. Eine Verzögerung gefährdet Roadmap, Lieferfähigkeit und bestehende Investoren-Covenants.</w:t>
      </w:r>
    </w:p>
    <w:p>
      <w:pPr>
        <w:spacing w:line="259" w:lineRule="auto" w:after="60"/>
        <w:jc w:val="left"/>
      </w:pPr>
      <w:r>
        <w:rPr>
          <w:b/>
        </w:rPr>
        <w:t>Beiratslinie:</w:t>
      </w:r>
      <w:r>
        <w:t xml:space="preserve"> Vergleichsvorschlag mit reduziertem Pi-Mu-Anteil, Nachzeichnungsmöglichkeit Christine, zusätzlichem Reporting und Stillhaltevereinbarung bis zur registerrechtlichen Klärung.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Verifizierte Rechtsprechungsanker</w:t>
      </w:r>
    </w:p>
    <w:p>
      <w:pPr>
        <w:pStyle w:val="ListBullet"/>
        <w:spacing w:line="259" w:lineRule="auto" w:after="60"/>
      </w:pPr>
      <w:r>
        <w:t>BGH, Urteil vom 13.03.1978 - II ZR 142/76, BGHZ 71, 40 (Kali+Salz): Bezugsrechtsausschluss verlangt sachliche Rechtfertigung und Verhältnismäßigkeit.</w:t>
      </w:r>
    </w:p>
    <w:p>
      <w:pPr>
        <w:pStyle w:val="ListBullet"/>
        <w:spacing w:line="259" w:lineRule="auto" w:after="60"/>
      </w:pPr>
      <w:r>
        <w:t>BGH, Urteil vom 21.04.1997 - II ZR 175/95, BGHZ 135, 244 (ARAG/Garmenbeck): Organentscheidungen müssen auf angemessener Informationsgrundlage getroffen werden.</w:t>
      </w:r>
    </w:p>
    <w:p>
      <w:pPr>
        <w:pStyle w:val="ListBullet"/>
        <w:spacing w:line="259" w:lineRule="auto" w:after="60"/>
      </w:pPr>
      <w:r>
        <w:t>BGH, Urteil vom 14.07.2008 - II ZR 202/07: Informationsgrundlage und dokumentierte Abwägung bleiben zentrale Angriffspunkte bei unternehmerischen Entscheidungen.</w:t>
      </w:r>
    </w:p>
    <w:p>
      <w:pPr>
        <w:spacing w:line="259" w:lineRule="auto" w:after="60"/>
        <w:jc w:val="left"/>
      </w:pPr>
      <w:r>
        <w:t>Vor Verwendung im Schriftsatz: Fundstelle und amtlichen oder frei zugänglichen Volltext erneut prüfen.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6. Nächster Entwurfsschritt</w:t>
      </w:r>
    </w:p>
    <w:p>
      <w:pPr>
        <w:pStyle w:val="ListNumber"/>
        <w:spacing w:line="259" w:lineRule="auto" w:after="60"/>
      </w:pPr>
      <w:r>
        <w:t>Cap-Table-Verwässerung mit zwei Exit-Szenarien auf einer Seite darstellen.</w:t>
      </w:r>
    </w:p>
    <w:p>
      <w:pPr>
        <w:pStyle w:val="ListNumber"/>
        <w:spacing w:line="259" w:lineRule="auto" w:after="60"/>
      </w:pPr>
      <w:r>
        <w:t>Eilantrag auf registerrechtlichen Vollzugsstopp knapp halten: Beschlussmangel, irreversibler Vollzug, überwiegendes Sicherungsinteresse.</w:t>
      </w:r>
    </w:p>
    <w:p>
      <w:pPr>
        <w:pStyle w:val="ListNumber"/>
        <w:spacing w:line="259" w:lineRule="auto" w:after="60"/>
      </w:pPr>
      <w:r>
        <w:t>Für Vergleichsgespräch drei Varianten vorbereiten: Nachzeichnung, kleinere Tranche, Side Letter mit Schutzrechten.</w:t>
      </w:r>
    </w:p>
    <w:p>
      <w:pPr>
        <w:pStyle w:val="ListNumber"/>
        <w:spacing w:line="259" w:lineRule="auto" w:after="60"/>
      </w:pPr>
      <w:r>
        <w:t>Beiratsschreiben auf belastbare Zusagen statt Absichtserklärungen trimmen.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