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line="259" w:lineRule="auto"/>
      </w:pPr>
      <w:r>
        <w:rPr>
          <w:rFonts w:ascii="Times New Roman" w:hAnsi="Times New Roman"/>
          <w:b/>
          <w:color w:val="1F3C54"/>
          <w:sz w:val="28"/>
        </w:rPr>
        <w:t>SpreeBank AG</w:t>
      </w:r>
    </w:p>
    <w:p>
      <w:pPr>
        <w:spacing w:after="60" w:before="120" w:line="259" w:lineRule="auto"/>
      </w:pPr>
      <w:r>
        <w:rPr>
          <w:rFonts w:ascii="Times New Roman" w:hAnsi="Times New Roman"/>
          <w:b/>
          <w:sz w:val="22"/>
        </w:rPr>
        <w:t>Firmenkundencenter Mitte · Friedrichstraße 121, 10117 Berlin</w:t>
      </w:r>
    </w:p>
    <w:p>
      <w:pPr>
        <w:spacing w:before="120" w:after="60" w:line="259" w:lineRule="auto"/>
      </w:pPr>
      <w:r>
        <w:rPr>
          <w:rFonts w:ascii="Times New Roman" w:hAnsi="Times New Roman"/>
          <w:b/>
          <w:color w:val="555555"/>
          <w:sz w:val="22"/>
        </w:rPr>
        <w:t>Kunden-Nr. 771840 · Ansprechpartnerin: Laura Benning · Datum: 21. Juni 2026</w:t>
      </w:r>
    </w:p>
    <w:p>
      <w:pPr>
        <w:spacing w:line="259" w:lineRule="auto" w:after="60"/>
      </w:pPr>
    </w:p>
    <w:p>
      <w:pPr>
        <w:pStyle w:val="Heading1"/>
        <w:spacing w:before="120" w:after="60" w:line="259" w:lineRule="auto"/>
      </w:pPr>
      <w:r>
        <w:rPr>
          <w:rFonts w:ascii="Times New Roman" w:hAnsi="Times New Roman"/>
          <w:b/>
          <w:sz w:val="22"/>
        </w:rPr>
        <w:t>KYC- und Transparenzregister-Nachforderung</w:t>
      </w:r>
    </w:p>
    <w:p>
      <w:pPr>
        <w:spacing w:line="259" w:lineRule="auto" w:after="60"/>
      </w:pPr>
      <w:r>
        <w:rPr>
          <w:b/>
        </w:rPr>
        <w:t>Betreff: Roeschen Tech GmbH, geplante Series-A-Erweiterung und Änderung der Beteiligungsstruktur.</w:t>
      </w:r>
    </w:p>
    <w:p>
      <w:pPr>
        <w:spacing w:line="259" w:lineRule="auto" w:after="60"/>
      </w:pPr>
      <w:r>
        <w:t>Sehr geehrte Frau Roesener, sehr geehrter Herr Schmid, die Bank kann die Auszahlung der zugesagten Betriebsmittellinie erst freigeben, wenn die wirtschaftlich Berechtigten nach Vollzug der Kapitalerhöhung plausibel dokumentiert sind.</w:t>
      </w:r>
    </w:p>
    <w:p>
      <w:pPr>
        <w:pStyle w:val="Heading2"/>
        <w:spacing w:before="120" w:after="60" w:line="259" w:lineRule="auto"/>
      </w:pPr>
      <w:r>
        <w:rPr>
          <w:rFonts w:ascii="Times New Roman" w:hAnsi="Times New Roman"/>
          <w:b/>
          <w:sz w:val="22"/>
        </w:rPr>
        <w:t>Erforderliche Unterlagen</w:t>
      </w:r>
    </w:p>
    <w:p>
      <w:pPr>
        <w:spacing w:line="259" w:lineRule="auto" w:after="60"/>
      </w:pPr>
      <w:r>
        <w:t>Bitte reichen Sie die aktuelle und die geplante Gesellschafterliste, das Cap Table vor und nach Closing, den Beteiligungsvertrag, die Stimmrechtsbindungsvereinbarungen, Beiratsrechte sowie Angaben zu Vetorechten der Investoren ein.</w:t>
      </w:r>
    </w:p>
    <w:p>
      <w:pPr>
        <w:pStyle w:val="Heading2"/>
        <w:spacing w:line="259" w:lineRule="auto" w:after="60"/>
      </w:pPr>
      <w:r>
        <w:t>Prüfpunkt wirtschaftlich Berechtigte</w:t>
      </w:r>
    </w:p>
    <w:p>
      <w:pPr>
        <w:spacing w:line="259" w:lineRule="auto" w:after="60"/>
      </w:pPr>
      <w:r>
        <w:t>Nach der vorgelegten Struktur ist nicht nur die Kapitalquote maßgeblich. Zu prüfen sind auch Pooling, Vetorechte, Sonderrechte der Class C, Wandlungsrechte und die Frage, ob die Investorin faktisch beherrschenden Einfluss erhält.</w:t>
      </w:r>
    </w:p>
    <w:p>
      <w:pPr>
        <w:pStyle w:val="Heading2"/>
        <w:spacing w:line="259" w:lineRule="auto" w:after="60"/>
      </w:pPr>
      <w:r>
        <w:t>Vorläufige Risikoeinschätzung</w:t>
      </w:r>
    </w:p>
    <w:p>
      <w:pPr>
        <w:spacing w:line="259" w:lineRule="auto" w:after="60"/>
      </w:pPr>
      <w:r>
        <w:t>Die Bank sieht keinen Ablehnungsgrund, solange die Registerlage und die Transparenzregistermeldung innerhalb von zwei Wochen nach Closing aktualisiert werden. Bei anhängiger Anfechtungsklage benötigen wir zusätzlich eine kurze Einschätzung der anwaltlichen Vertretung zum Vollzugsrisiko.</w:t>
      </w:r>
    </w:p>
    <w:p>
      <w:pPr>
        <w:spacing w:line="259" w:lineRule="auto" w:after="60"/>
      </w:pPr>
      <w:r>
        <w:t>Mit freundlichen Grüßen Laura Benning, Firmenkundenbetreuung Technologieunternehmen.</w:t>
      </w:r>
    </w:p>
    <w:sectPr w:rsidR="00FC693F" w:rsidRPr="0006063C" w:rsidSect="00034616">
      <w:footerReference w:type="default" r:id="rId9"/>
      <w:headerReference w:type="default" r:id="rId10"/>
      <w:pgSz w:w="12240" w:h="15840"/>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6"/>
      </w:rPr>
      <w:t>SpreeBank Firmenkundenakte Roeschen Tech GmbH</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Hagemann &amp; Westarp Rechtsanwälte | Gesellschaftsrechtliche Arbeitsakte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Arial"/>
      <w:b/>
      <w:bCs/>
      <w:color w:val="1F3C5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Arial"/>
      <w:b/>
      <w:bCs/>
      <w:color w:val="1F3C5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