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Founder Vesting und Leaver-Matrix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Gründer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Vesting-Start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Cliff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Vested Stand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Streitpunkt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Andrea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30/48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CEO-Bonus soll zusätzlich sofort vesten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30/48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Krankheit April/Mai nicht geregelt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Christine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30/48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Verwässerung plus drohender Bad-Leaver-Vorwurf</w:t>
            </w:r>
          </w:p>
        </w:tc>
      </w:tr>
    </w:tbl>
    <w:p>
      <w:pPr>
        <w:spacing w:line="259" w:lineRule="auto" w:after="60"/>
        <w:jc w:val="left"/>
      </w:pPr>
      <w:r>
        <w:t>Side Letter Stahlauge enthält eine harte Bad-Leaver-Definition bei „sustained obstruction of financing“. Christine hält das für eine unzulässige Druckklausel.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