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Datenschutz- und KI-Compliance Startcheck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Roeschen Tech analysiert Kundenformulare mit einem KI-Modul. Unklar: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Werden personenbezogene Daten zum Training genutzt?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Gibt es AV-Verträge mit Pilotkunden?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Ist ein KI-System im Sinne der KI-VO dokumentiert?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Gibt es Hochrisiko-Anzeichen, wenn Kunden das Tool im HR-Kontext verwenden?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Enthält das Investorendeck übertriebene Aussagen zur Compliance?</w:t>
      </w:r>
    </w:p>
    <w:p>
      <w:pPr>
        <w:spacing w:line="259" w:lineRule="auto" w:after="60"/>
        <w:jc w:val="left"/>
      </w:pPr>
      <w:r>
        <w:t>Notiz: Für Closing sollten Datenschutzrecht und KI-VO-Checker hinzugezogen werden.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