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00 Deal Personen und Zeitleiste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Codename und Eckdaten</w:t>
      </w:r>
    </w:p>
    <w:p>
      <w:pPr>
        <w:spacing w:line="259" w:lineRule="auto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Punkt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Wert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Projektcodename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Project Comet Moth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Mandantin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Kometenfalter Systems GmbH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Sitz und Register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Frankfurt am Main, HRB 137422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Gegenstand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Software zur automatisierten Energieoptimierung in Gewerbeimmobilien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Gründungsdatum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14.02.2022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Geschäftsjahr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Kalenderjahr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Stammkapital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30.000 EUR, eingeteilt in 30.000 Geschäftsanteile zu je 1 EUR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Aktueller Notar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Notariat Schwartz, Dr. Edelgard Schwartz, Frankfurt am Main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Lead Investor Series A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Northbridge Growth III SCS (Luxemburg, regulierter SCSp-Fonds)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Co-Investor Series A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Angel-Pool Krämer (vier natürliche Personen, vertreten durch RA Krämer)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Bestehender Investor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Stahlauge Ventures GmbH (Seed)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Wandeldarlehensgeberin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Tante Ermelind Capital UG (haftungsbeschränkt)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Zielcloseing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15.07.2026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Long-Stop-Date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15.09.2026</w:t>
            </w:r>
          </w:p>
        </w:tc>
      </w:tr>
    </w:tbl>
    <w:p>
      <w:pPr>
        <w:spacing w:line="259" w:lineRule="auto" w:after="60"/>
      </w:pP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Cast</w:t>
      </w:r>
    </w:p>
    <w:p>
      <w:pPr>
        <w:spacing w:line="259" w:lineRule="auto" w:after="60"/>
      </w:pPr>
    </w:p>
    <w:p>
      <w:pPr>
        <w:pStyle w:val="Heading3"/>
        <w:spacing w:line="259" w:lineRule="auto" w:after="60"/>
      </w:pPr>
      <w:r>
        <w:t>Auf Mandantenseite</w:t>
      </w:r>
    </w:p>
    <w:p>
      <w:pPr>
        <w:spacing w:line="259" w:lineRule="auto" w:after="60"/>
      </w:pP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Kunigunde Reiter — Gründerin, CEO, 40 Prozent nominal. Volkswirtin, will Mandantenfragen in normaler Sprache beantwortet bekommen, ohne Anglizismen-Lawine. Sehr klare Linie: Anrechnung der bereits geleisteten Vesting-Monate ist für sie ein Knackpunkt.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Meinhard Voss — Gründer, CTO, 30 Prozent nominal. Skeptisch gegenüber englischen Begriffen, hält Anti-Dilution intuitiv für „auch eine Art Bezugsrecht". Heikler Punkt für den Gründercall.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Walburga Stein — Gründerin, Product, 20 Prozent nominal. Politisch im Gründerteam Mittlerin; will keine Reibung mit Investoren.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Olaf Eichholtz — Interim CFO, ehemals Inhouse Counsel bei einem Mittelstandskonzern. Liefert die internen Cap-Table-Files. Hat aber Cap Table und Gesellschafterliste in einem Excel-Reiter vermischt — typischer Fehler.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Eberwein &amp; Helmstadt LLP, München — bisherige Hauskanzlei für Arbeitsrecht und Vertragsrecht. Keine Corporate-Praxis. Hat den Seed-SHA gezeichnet.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Steuerberaterin — Sozietät Hartwig, Frankfurt, kümmert sich um die Lohnsteuerthemen rund um VSOP.</w:t>
      </w:r>
    </w:p>
    <w:p>
      <w:pPr>
        <w:spacing w:line="259" w:lineRule="auto" w:after="60"/>
      </w:pPr>
    </w:p>
    <w:p>
      <w:pPr>
        <w:pStyle w:val="Heading3"/>
        <w:spacing w:line="259" w:lineRule="auto" w:after="60"/>
      </w:pPr>
      <w:r>
        <w:t>Auf Investorenseite Lead</w:t>
      </w:r>
    </w:p>
    <w:p>
      <w:pPr>
        <w:spacing w:line="259" w:lineRule="auto" w:after="60"/>
      </w:pP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Northbridge Growth III SCS — Lead-Fonds, Sitz Luxemburg. General Partner: Northbridge Growth GP S.à r.l. Investment Committee tagt Mittwochs.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Henning Lüttich — Partner Northbridge, Deal Lead. Hat in San Francisco gearbeitet, mischt Delaware-Logik mit Frankfurter Realität. Hält Investor Director Approval intuitiv für „Board veto".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Vivienne Ostwald — Senior Associate Northbridge, kümmert sich um Term-Sheet-Verhandlung.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Brackenmuir &amp; Quint LLP, Frankfurt — Investor Counsel. Magic Circle, mit deutscher Praxis. Lead: Dr. Frieda Brackenmuir.</w:t>
      </w:r>
    </w:p>
    <w:p>
      <w:pPr>
        <w:spacing w:line="259" w:lineRule="auto" w:after="60"/>
      </w:pPr>
    </w:p>
    <w:p>
      <w:pPr>
        <w:pStyle w:val="Heading3"/>
        <w:spacing w:line="259" w:lineRule="auto" w:after="60"/>
      </w:pPr>
      <w:r>
        <w:t>Auf Investorenseite Co</w:t>
      </w:r>
    </w:p>
    <w:p>
      <w:pPr>
        <w:spacing w:line="259" w:lineRule="auto" w:after="60"/>
      </w:pP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Siegfried Krämer Angel Pool — vier Privatpersonen, gepoolt über die „Krämer Angel Investment GbR", Sitz Bad Homburg. Sprecher: RA Siegfried Krämer.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Stahlauge Ventures GmbH — Seed-Investor seit 2023, hält 10 Prozent. Will Bestandsschutz für die Seed-Präferenz.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Tante Ermelind Capital UG (haftungsbeschränkt) — Family-Office-Vehikel des Onkels von Walburga Stein. Hat ein Wandeldarlehen über 600.000 EUR ausgegeben.</w:t>
      </w:r>
    </w:p>
    <w:p>
      <w:pPr>
        <w:spacing w:line="259" w:lineRule="auto" w:after="60"/>
      </w:pPr>
    </w:p>
    <w:p>
      <w:pPr>
        <w:pStyle w:val="Heading3"/>
        <w:spacing w:line="259" w:lineRule="auto" w:after="60"/>
      </w:pPr>
      <w:r>
        <w:t>Auf Beraterseite Mandantin</w:t>
      </w:r>
    </w:p>
    <w:p>
      <w:pPr>
        <w:spacing w:line="259" w:lineRule="auto" w:after="60"/>
      </w:pP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Dr. Adelheid von Westarp — Partnerin Corporate, federführend für Kometenfalter.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Roswitha Plöger — Counsel, Tax und VSOP-Themen.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Hildemar K. — Associate 1. Jahr, frisch aus dem Referendariat. Schreibt den Arbeitsstand in Datei 06.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Sebastian Volpert — Notariatsangestellter im Notariat Schwartz, koordiniert Beurkundungstermine.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t>Zeitleiste seit Seed</w:t>
      </w:r>
    </w:p>
    <w:p>
      <w:pPr>
        <w:spacing w:line="259" w:lineRule="auto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Datum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Ereignis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14.02.2022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Gründung Kometenfalter Systems GmbH, Stammkapital 25.000 EUR, drei Gründer.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01.07.2023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Kapitalerhöhung um 5.000 EUR; Stahlauge Ventures GmbH übernimmt neue Geschäftsanteile, Seed-Investment 1,5 Mio. EUR, 1x non-participating preference, basic anti-dilution.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01.07.2023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Seed-SHA und Satzungsänderung beurkundet, UR-Nr. 412/2023 Notariat Schwartz.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01.01.2024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Reverse Vesting der Gründer beginnt, 36 Monate, 12 Monate Cliff.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03.03.2024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Anmeldung Kapitalerhöhung im Handelsregister.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15.04.2024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Eintragung Kapitalerhöhung im Handelsregister; aktuelle Gesellschafterliste eingereicht.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12.09.2024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Beirat per Gesellschafterbeschluss eingerichtet, ohne Geschäftsordnung; tagt informell.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21.11.2024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Wandeldarlehen Tante Ermelind Capital UG über 600.000 EUR, DocuSign, nicht beurkundet.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18.02.2025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VSOP-Programm aufgelegt, 900 virtuelle Anteile zugesagt, davon 360 vested.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15.05.2025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Erstgespräch mit Northbridge.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02.10.2025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Northbridge IC genehmigt LOI.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12.11.2025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LOI gezeichnet.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18.12.2025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Northbridge schickt Standard-Term-Sheet.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14.04.2026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Term Sheet Final Draft.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18.05.2026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Aktueller Notarentwurf der Gesellschafterliste (noch nicht eingereicht).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25.05.2026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Datenraum geöffnet, Brackenmuir &amp; Quint LLP arbeitet sich ein.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Donnerstag heute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Partnerin verlangt Briefing bis 11:30 Uhr.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15.07.2026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Zielcloseing.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15.09.2026</w:t>
            </w:r>
          </w:p>
        </w:tc>
        <w:tc>
          <w:tcPr>
            <w:tcW w:type="dxa" w:w="48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Long-Stop-Date laut Term Sheet.</w:t>
            </w:r>
          </w:p>
        </w:tc>
      </w:tr>
    </w:tbl>
    <w:p>
      <w:pPr>
        <w:spacing w:line="259" w:lineRule="auto" w:after="60"/>
      </w:pP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t>Aktenschwerpunkte für die kommende Verhandlung</w:t>
      </w:r>
    </w:p>
    <w:p>
      <w:pPr>
        <w:spacing w:line="259" w:lineRule="auto" w:after="60"/>
      </w:pP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Saubere Trennung von Cap Table (internes Steuerungsinstrument) und Gesellschafterliste (öffentliches Register nach Paragraf 40 GmbHG).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Wirtschaftliche Position der Gründer auf fully diluted basis nach Pool-Shuffle, Wandlung des Wandeldarlehens Frau Ermelind und Bedienung der VSOP-Anteile.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Englische Vertragsbegriffe, die im deutschen Recht eine eigene Umsetzung verlangen: Liquidation Preference, Anti-Dilution, Drag/Tag, Reps &amp; Warranties, Consent Matters, Investor Director.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Brücke zwischen englischem Term Sheet, deutscher Notar-, Register- und GmbHG-Welt sowie bestehender Satzung und Seed-SHA.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Vorbereitung der Verhandlung mit Northbridge bzw. Brackenmuir &amp; Quint LLP: Partnerbriefing, Mandantenmemo und Liste an Investor Counsel.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t>Offene Punkte zur Bearbeitung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Die Akte ist im Arbeitsstand und enthält erkennbare Widersprüche zwischen Term Sheet, Satzung, Seed-SHA, Wandeldarlehen und VSOP. Die nächsten Schritte: die Widersprüche identifizieren, in Partnerbriefing und Mandantenmemo zusammenführen und für die anstehende Verhandlung sortiert vorlegen.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>Kometenfalter Systems GmbH — internes Arbeitsmaterial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Hagemann &amp; Westarp | Project Comet Moth | vertraulich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