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11n Randnotiz Adelheid von Westarp zum Entwurf Hildemar K.</w:t>
      </w:r>
    </w:p>
    <w:p>
      <w:pPr>
        <w:spacing w:line="259" w:lineRule="auto" w:after="60"/>
      </w:pPr>
    </w:p>
    <w:p>
      <w:pPr>
        <w:spacing w:after="60" w:before="120" w:line="259" w:lineRule="auto"/>
        <w:jc w:val="both"/>
      </w:pPr>
      <w:r>
        <w:rPr>
          <w:rFonts w:ascii="Times New Roman" w:hAnsi="Times New Roman"/>
          <w:b/>
          <w:sz w:val="22"/>
        </w:rPr>
        <w:t>Verfasserin: RAin Dr. Adelheid von Westarp</w:t>
      </w:r>
    </w:p>
    <w:p>
      <w:pPr>
        <w:spacing w:after="60" w:before="120" w:line="259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Datum: Donnerstag, 07:38 Uhr</w:t>
      </w:r>
    </w:p>
    <w:p>
      <w:pPr>
        <w:spacing w:after="60" w:before="120" w:line="259" w:lineRule="auto"/>
        <w:jc w:val="both"/>
      </w:pPr>
      <w:r>
        <w:rPr>
          <w:rFonts w:ascii="Times New Roman" w:hAnsi="Times New Roman"/>
          <w:b/>
          <w:sz w:val="22"/>
        </w:rPr>
        <w:t>Bezug: Entwurf Hildemar K. vom 02:14 Uhr (siehe Datei 11, E-Mail 3)</w:t>
      </w:r>
    </w:p>
    <w:p>
      <w:pPr>
        <w:spacing w:line="259" w:lineRule="auto" w:after="60"/>
      </w:pPr>
    </w:p>
    <w:p>
      <w:pPr>
        <w:spacing w:after="60" w:before="120" w:line="259" w:lineRule="auto"/>
        <w:jc w:val="both"/>
      </w:pPr>
      <w:r>
        <w:rPr>
          <w:rFonts w:ascii="Times New Roman" w:hAnsi="Times New Roman"/>
          <w:b/>
          <w:sz w:val="22"/>
        </w:rPr>
        <w:t>Hildemar, gut. Drei Sachen:</w:t>
      </w:r>
    </w:p>
    <w:p>
      <w:pPr>
        <w:spacing w:line="259" w:lineRule="auto" w:after="60"/>
      </w:pP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02:14-Uhr-Mails sind eine Zeitstempel-Selbstverletzung. Schicken Sie in Zukunft erst nach 06:30.</w:t>
      </w:r>
    </w:p>
    <w:p>
      <w:pPr>
        <w:spacing w:line="259" w:lineRule="auto" w:after="60"/>
      </w:pP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Waterfall-Annahme „25,3 Prozent" bitte mit Quelle: woher haben Sie diese Zahl? Cap Table v18.05.2026 ist noch instabil.</w:t>
      </w:r>
    </w:p>
    <w:p>
      <w:pPr>
        <w:spacing w:line="259" w:lineRule="auto" w:after="60"/>
      </w:pP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Drag-Vorschlag 65 Prozent ist Verhandlungslogik, nicht Mandanteninteresse. Bitte gegen das Gründerinteresse argumentieren: Sperrminorität der Gründer auf der einen, Mehrheit der A-Investoren auf der anderen Seite. Der Vorschlag muss aus dieser Logik heraus formuliert werden, nicht aus einer „Kompromiss-Mitte".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A.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Kometenfalter Systems GmbH — internes Arbeitsmaterial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Hagemann &amp; Westarp | Project Comet Moth | vertraulich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