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13 Side Letter und Information Rights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Auszug Seed Side Letter Stahlauge Ventures GmbH, datiert 01.07.2023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Section 1 Information Rights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The Company shall deliver to the Investor: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(a) monthly management reports within 15 business days after the end of each month, including profit and loss, cash position and burn rate;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(b) quarterly business reviews within 30 days after the end of each quarter;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(c) annual audited financial statements within 120 days after the end of each fiscal year;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(d) annual budget and business plan for the upcoming year by 30 November of the preceding year.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2 Pro Rata Right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The Investor shall have a pro rata right to participate in any future equity financing in order to maintain its fully diluted percentage ownership.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3 Most Favoured Nation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If the Company grants to any other investor any rights more favourable than those granted to the Investor, the Company shall promptly offer such rights to the Investor.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4 Seed Preference Confirmation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The Investor's 1x non-participating liquidation preference granted under the Seed-SHA dated 01.07.2023 shall be preserved and reflected in any subsequent financing documentation.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Folgenabschätzung für Series A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Information Rights Stack. Northbridge wird im Series-A-SHA umfangreiche Informationsrechte verlangen (monthly, quarterly, annual, budget). Stahlauge hat sie bereits. Aufwand für die Mandantin: jedes Reporting-Format einmal sauber aufbauen, dann gleichmäßig an alle Berechtigten verteilen. Klassischer Organisationsfehler: nur an Northbridge schicken und Stahlauge übersehen.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MFN. Wenn Northbridge stärkere Rechte erhält (z. B. monatlicher KPI-Bericht, Direktzugang zu Daten), kann Stahlauge unter Section 3 die gleichen Rechte verlangen. Achtung: MFN-Klauseln können ohne ausdrücklichen Trigger auslösen.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Pro Rata Right. Stahlauge kann beim Series-A-Closing pro rata mitziehen. Im Cap-Table-Modell entsprechend reservieren. Northbridge-Mindestquote im Term Sheet (Investor Director Sitz an Series A Majority) prüfen, ob Stahlauges Pro-rata-Anteil die Majoritätsschwelle beeinflusst.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Seed Preference Confirmation. Im Series-A-SHA ausdrücklich aufzunehmen: Stahlauge behält seine Seed-Präferenz. Stack-Frage: Wer kommt zuerst, Series A (junior) oder Seed (senior)? Marktüblich Series A „pari passu mit Seed" oder „senior zu Seed". Term Sheet schweigt. Klärungsbedarf.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Side Letter Northbridge Series A, Entwurf der Investor Counsel vom 24.05.2026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1 Reserved Matters Investor Director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The Investor Director shall have a veto right on the Reserved Matters set out in Annex 1 of the SHA. The Investor shall be entitled to consult the Investor Director prior to any board meeting at which Reserved Matters are discussed.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2 Information Rights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In addition to the Information Rights granted under the SHA, the Investor shall be entitled to: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(a) monthly KPI dashboard delivered no later than the 10th business day after month-end, in the format provided by the Investor;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(b) quarterly investor update calls with the founders;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(c) access to the Company's data room during the term of investment, including legal documents, contracts above EUR 250,000, and personnel files of C-level employees on a need-to-know basis.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3 Most Favoured Investor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If the Company grants to any other investor in any subsequent financing any rights more favourable than those granted to Northbridge, the Company shall promptly offer such rights to Northbridge.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Section 4 Anti-Embarrassment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For a period of 24 months following Closing, the Company shall procure that no transfer of shares occurs at a valuation higher than 130 percent of the Series A valuation without first consulting the Investor.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Spannungspunkte für Senior-Review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KPI Dashboard im Investor-Format. Klingt harmlos, ist es aber nicht. Wenn Northbridge ein „bestimmtes Format" vorschreibt, kann das de facto eine kontinuierliche Reporting-Pflicht aus der Geschäftsführung herausnehmen und an die CFO-Funktion delegieren. Mandantin muss die operative Last verstehen.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Data Room Access Personalakten. Section 2 (c) erlaubt Zugriff auf Personalakten von C-Level. Datenschutzrechtlich nach Artikel 6 DSGVO und Paragraf 26 BDSG zu prüfen, ob eine Rechtsgrundlage für diese Verarbeitung besteht. Vermutlich nur mit Einwilligung der betroffenen Personen oder anonymisierten Daten.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Anti-Embarrassment Clause. Section 4 wirkt wie ein verschleiertes Vorkaufsrecht. Praktische Folge: jeder Sekundärverkauf, etwa der Gründer an Bestandsinvestoren, wird de facto blockiert. Verhandeln.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Most Favoured Investor. Northbridge will sich gegen MFN-Effekte des Stahlauge-Side-Letters absichern. Sauberes Mapping mit dem Stahlauge-Side-Letter erforderlich. Wenn beide Investoren MFN haben, droht eine Endlosspirale: jede Verbesserung für einen Investor zieht die Verbesserung für den anderen nach sich. Lösung: Stichtagsbezug oder Ausnahmen klar definieren.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Reserved Matters Veto. Die Klausel formuliert das Veto auf Investor-Director-Ebene. Die GmbH-Organstruktur ist aber eine andere: Geschäftsführer haften organrechtlich. Wenn der Investor Director ein Veto-Recht hat, muss die interne Geschäftsordnung der Geschäftsführung dies abbilden, oder der Vorbehalt muss auf Gesellschafterebene gespiegelt werden. Sonst Reibungsverluste in der Praxis.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Skizze Information-Rights-Stack nach Closing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Empfänger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Frequenz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Inhalt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Rechtsgrundlage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monatlich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P+L, Cash, Burn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Seed Side Letter Section 1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quarterly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Business Review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Seed Side Letter Section 1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Growth III SCS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monatlich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KPI Dashboard im Investor-Format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Series A Side Letter Section 2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Growth III SCS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quarterly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Investor Update Call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Series A Side Letter Section 2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Growth III SCS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annually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Audited Statements, Budget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Series A SHA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Krämer Angel Pool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annually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Audited Statements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Series A SHA, sofern aufgenommen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VSOP-Teilnehmer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annually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VSOP-Reporting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VSOP-Bedingungen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Beirat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quarterly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Geschäftsbericht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Beiratsgeschäftsordnung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Praxistipp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Ein gutes internes Reporting-System schluckt alle Empfänger ohne Mehraufwand. Ein schlechtes erzeugt Konflikte mit dem nächsten Investor, weil die Mandantin überfordert ist. Hildemar wird gebeten, die Mandantin auf die operative Reporting-Last hinzuweisen, bevor die Tinte trocknet.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