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16 WhatsApp Partner Associate Thread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Donnerstag, 06:58 bis 08:21 Uhr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06:58 - Adelheid: Guten Morgen. Northbridge hat nachts noch einmal wegen "fully diluted incl. pool and convertibles" nachgelegt. Bitte nicht einfach in die Gesellschafterliste kippen.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06:59 - Hildemar: Verstanden. Ich trenne Cap Table und Gesellschafterliste. Soll ich den Pool pre-money oder post-money rechnen?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07:01 - Adelheid: Genau das ist die Frage. Term Sheet sagt "including a post-Closing option pool of 12 percent", aber die wirtschaftliche Last liegt nach deren Modell wohl pre-money bei den Altgesellschaftern. Bitte sichtbar machen.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07:04 - Hildemar: Ich baue zwei Szenarien: A Pool pre-money zulasten Bestand, B Pool post-money alle. Wandeldarlehen Tante Ermelind mit Cap/Discount jeweils separat.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07:06 - Adelheid: Gut. Und bitte keine "preferred shares" in die Satzung schreiben, als wären wir Delaware. Wir brauchen deutsche Vorzugsrechte, sauber in Satzung/SHA gespiegelt.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07:09 - Hildemar: Ich mache eine Begriffskarte: Preferred Shares = wirtschaftliche Vorzugsrechte, Umsetzung über Geschäftsanteilsklassen/Satzung/SHA; keine deutsche Scheinübersetzung.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07:16 - Adelheid: Super. Zweiter Punkt: Investor Director. Nicht als Geschäftsführer behandeln. Es ist Beirat/Consent-Matter-Mechanik.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07:18 - Hildemar: Also Consent Matters auf drei Ebenen prüfen: Beirat, Geschäftsführer-Geschäftsordnung, Gesellschafterversammlung/Satzung.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07:20 - Adelheid: Genau. Und sag im Memo, wo nur SHA reicht und wo Satzung/Notar/HR zwingend werden kann.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07:43 - Hildemar: Kurze Rückfrage: Drag-Along Threshold im Term Sheet 60 Prozent fully diluted plus Series A Majority. Reicht das als schuldrechtliche Pflicht?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07:46 - Adelheid: Als Pflicht im SHA ja, aber Vollmacht, Beurkundung, Minderheitenschutz und Preisgleichheit prüfen. Nicht "Vorkaufsrecht" nennen.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08:02 - Hildemar: Ich habe im Associate-Draft den Satz "Liquidation Preference greift bei Insolvenz" gestrichen. Korrektur: Exit-Erlos-Waterfall, auch Share Deal/Asset Deal/Merger.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08:05 - Adelheid: Sehr gut. Das ist der Punkt, an dem Leute in Interviews oft stolpern.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08:21 - Adelheid: Ergebnis bis 10:30 bitte als 1-Seiter: Top-7 Begriffe, Top-5 deutsche Umsetzungsfragen, Top-3 Rückfragen an Mandantin, Senior-Gates.</w:t>
      </w:r>
    </w:p>
    <w:p>
      <w:pPr>
        <w:spacing w:line="259" w:lineRule="auto" w:after="6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>Kometenfalter Systems GmbH — internes Arbeitsmaterial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Hagemann &amp; Westarp | Project Comet Moth | vertraulich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