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25 Mailbox und Call-Fragmente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Donnerstag, 28.05.2026 — laufende Eingangslage</w:t>
      </w:r>
    </w:p>
    <w:p>
      <w:pPr>
        <w:spacing w:line="259" w:lineRule="auto" w:after="60"/>
      </w:pPr>
    </w:p>
    <w:p>
      <w:pPr>
        <w:spacing w:after="80" w:line="259" w:lineRule="auto"/>
        <w:jc w:val="both"/>
      </w:pPr>
      <w:r>
        <w:rPr>
          <w:rFonts w:ascii="Times New Roman" w:hAnsi="Times New Roman"/>
          <w:sz w:val="21"/>
        </w:rPr>
        <w:t>Die nachstehenden Vermerke stammen aus dem Outlook-Export des Deal-Teams, dem Slack-Kanal #project-comet-moth und den handschriftlichen Call-Notizen von Adelheid von Westarp. Sie sind nicht konsolidiert. Mehrere Punkte widersprechen sich in Details, weil Investor Counsel, Mandantin, Notariat und CFO parallel arbeiten.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A Eingangsmails, die Hildemar beim Briefing berücksichtigen soll</w:t>
      </w:r>
    </w:p>
    <w:p>
      <w:pPr>
        <w:spacing w:line="259" w:lineRule="auto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Uhrzeit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Absender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Betreff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8EEF7"/>
          </w:tcPr>
          <w:p>
            <w:r>
              <w:rPr>
                <w:rFonts w:ascii="Times New Roman" w:hAnsi="Times New Roman"/>
                <w:b/>
                <w:sz w:val="17"/>
              </w:rPr>
              <w:t>Relevanz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07:42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Adelheid von Westarp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Kometenfalter / Series A / bitte einmal schnell sortieren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Ausgangsauftrag, Prioritätenliste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08:21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Adelheid von Westarp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zwei Punkte vergessen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Convertible Tante Ermelind, Beirat/Investor Director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08:34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Olaf Eichholtz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Cap Table v20 — bitte nicht an Northbridge schicken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CFO-Zahlenstand weicht von Datei 02 ab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08:48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Kunigunde Reiter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Bitte keine Delaware-Sprache im Gründer-Call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Mandantenkommunikation muss verständlich sein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09:05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Sebastian Volpert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Beurkundungssprache / Entwurfsstand Notariat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Notar will deutsche Satzungsfassung bis 03.06.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09:22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Vivienne Ostwald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Side Letter / Information Rights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Investor will monatliches Reporting und Budget Consent</w:t>
            </w:r>
          </w:p>
        </w:tc>
      </w:tr>
      <w:tr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09:41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Roswitha Plöger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Agio / steuerliches Einlagekonto</w:t>
            </w:r>
          </w:p>
        </w:tc>
        <w:tc>
          <w:tcPr>
            <w:tcW w:type="dxa" w:w="241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Times New Roman" w:hAnsi="Times New Roman"/>
                <w:sz w:val="17"/>
              </w:rPr>
              <w:t>Steuerteam verlangt klare Trennung Agio, Nennbetrag, Liquidationspräferenz</w:t>
            </w:r>
          </w:p>
        </w:tc>
      </w:tr>
    </w:tbl>
    <w:p>
      <w:pPr>
        <w:spacing w:line="259" w:lineRule="auto" w:after="60"/>
      </w:pP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B Call-Notiz Adelheid, 09:57 Uhr</w:t>
      </w:r>
    </w:p>
    <w:p>
      <w:pPr>
        <w:spacing w:line="259" w:lineRule="auto" w:after="60"/>
      </w:pPr>
    </w:p>
    <w:p>
      <w:pPr>
        <w:spacing w:line="259" w:lineRule="auto" w:after="60"/>
        <w:ind w:left="360"/>
      </w:pPr>
      <w:r>
        <w:rPr>
          <w:rFonts w:ascii="Times New Roman" w:hAnsi="Times New Roman"/>
          <w:i/>
          <w:sz w:val="20"/>
        </w:rPr>
        <w:t>Kunigunde versteht "fully diluted" als "wir verlieren schon jetzt Anteile". Bitte erklären: Es ist eine Rechengröße für Verhandlung, nicht automatisch eine aktuelle Registerlage. Nicht beschwichtigen, sondern sauber trennen: Gesellschafterliste heute, Cap Table nach Closing, Waterfall bei Exit.</w:t>
      </w:r>
    </w:p>
    <w:p>
      <w:pPr>
        <w:spacing w:line="259" w:lineRule="auto" w:after="60"/>
      </w:pPr>
    </w:p>
    <w:p>
      <w:pPr>
        <w:spacing w:line="259" w:lineRule="auto" w:after="60"/>
        <w:ind w:left="360"/>
      </w:pPr>
      <w:r>
        <w:rPr>
          <w:rFonts w:ascii="Times New Roman" w:hAnsi="Times New Roman"/>
          <w:i/>
          <w:sz w:val="20"/>
        </w:rPr>
        <w:t>Meinhard wird Anti-Dilution mit gesetzlichem Bezugsrecht vermischen. Antwort vorbereiten: Bezugsrecht schützt Altgesellschafter bei Kapitalerhöhung; Anti-Dilution schützt Investor bei Down Round. Beides kann dieselbe wirtschaftliche Sorge berühren, ist aber rechtlich anders gebaut.</w:t>
      </w:r>
    </w:p>
    <w:p>
      <w:pPr>
        <w:spacing w:line="259" w:lineRule="auto" w:after="60"/>
      </w:pPr>
    </w:p>
    <w:p>
      <w:pPr>
        <w:spacing w:line="259" w:lineRule="auto" w:after="60"/>
        <w:ind w:left="360"/>
      </w:pPr>
      <w:r>
        <w:rPr>
          <w:rFonts w:ascii="Times New Roman" w:hAnsi="Times New Roman"/>
          <w:i/>
          <w:sz w:val="20"/>
        </w:rPr>
        <w:t>Walburga fragt wahrscheinlich nach Tante Ermelind. Nicht sagen "nur Wandeldarlehen". Besser: "Tante Ermelind hat heute einen schuldrechtlichen Anspruch aus dem Darlehensvertrag; Gesellschafterin wird sie erst durch Kapitalerhöhung, Übernahme und Eintragung der aktualisierten Liste."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C Quercheck vor Versand an Brackenmuir</w:t>
      </w:r>
    </w:p>
    <w:p>
      <w:pPr>
        <w:spacing w:line="259" w:lineRule="auto" w:after="60"/>
      </w:pP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Keinen Begriff aus dem Term Sheet bloß übersetzen, ohne deutsche Trägerebene zu nennen.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Bei jedem Consent Matter das zuständige Organ notieren: Geschäftsführung, Gesellschafterversammlung oder Beirat.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Cap Table nicht an die Gesellschafterliste angleichen, sondern Abweichung erklären.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Waterfall mit und ohne Tante-Ermelind-Wandlung rechnen.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Agio immer als Teil des Ausgabebetrags behandeln; Liquidation Preference darf nicht nur auf den Nennbetrag laufen.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In der Mandantenfassung keine Abkürzungen ohne ersten Klartext verwenden.</w:t>
      </w:r>
    </w:p>
    <w:p>
      <w:pPr>
        <w:pStyle w:val="ListNumber"/>
        <w:spacing w:line="259" w:lineRule="auto" w:after="60"/>
      </w:pPr>
      <w:r>
        <w:rPr>
          <w:rFonts w:ascii="Times New Roman" w:hAnsi="Times New Roman"/>
          <w:sz w:val="20"/>
        </w:rPr>
        <w:t>Rückfragen an Brackenmuir als Verhandlungspunkte formulieren, nicht als Unsicherheit.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t>D Nebenkriegsschauplätze</w:t>
      </w:r>
    </w:p>
    <w:p>
      <w:pPr>
        <w:spacing w:line="259" w:lineRule="auto" w:after="60"/>
      </w:pP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Brackenmuir will Friday Call auf 10:00 vorziehen. Westarp kann erst ab 10:30, weil Notariat Schwartz wegen Beurkundungssprache parallel telefoniert.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Olaf hat in cap_table_v20_oe_2026-05-28.xlsx eine zusätzliche Pool-Zeile eingefügt, aber die Summenformel nicht erweitert.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Northbridge spricht von "Founder Reps", Kunigunde liest "private persönliche Haftung". Separater Cap-Vorschlag nötig.</w:t>
      </w:r>
    </w:p>
    <w:p>
      <w:pPr>
        <w:pStyle w:val="ListBullet"/>
        <w:spacing w:line="259" w:lineRule="auto" w:after="60"/>
      </w:pPr>
      <w:r>
        <w:rPr>
          <w:rFonts w:ascii="Times New Roman" w:hAnsi="Times New Roman"/>
          <w:sz w:val="20"/>
        </w:rPr>
        <w:t>Stahlauge Ventures hat einen alten Side Letter mit Information Rights; der darf im neuen Reporting-Stack nicht untergehen.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Kometenfalter Systems GmbH — internes Arbeitsmaterial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t>Hagemann &amp; Westarp | Project Comet Moth | vertraulich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