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02 — Eröffnungsbeschluss AG Charlottenburg</w:t>
      </w:r>
    </w:p>
    <w:p>
      <w:pPr>
        <w:spacing w:line="259" w:lineRule="auto" w:after="60"/>
        <w:ind w:left="567"/>
      </w:pPr>
      <w:r>
        <w:rPr>
          <w:i/>
        </w:rPr>
        <w:t>Wiedergabe des Eröffnungsbeschlusses zur Akte. Originalbeschluss als gerichtliches Dokument im PDF-Anlagenverzeichnis (pdfs/).</w:t>
      </w:r>
    </w:p>
    <w:p>
      <w:pPr>
        <w:spacing w:line="259" w:lineRule="auto" w:after="60"/>
      </w:pP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AMTSGERICHT CHARLOTTENBURG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Insolvenzgericht -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Amtsgerichtsplatz 1, 14057 Berlin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Geschäftsnummer: 36 IN 1342/26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BESCHLUSS</w:t>
      </w:r>
    </w:p>
    <w:p>
      <w:pPr>
        <w:spacing w:line="259" w:lineRule="auto" w:after="60"/>
        <w:jc w:val="left"/>
      </w:pPr>
      <w:r>
        <w:t>In dem Insolvenzeröffnungsverfahren über das Vermögen der</w:t>
      </w:r>
    </w:p>
    <w:p>
      <w:pPr>
        <w:spacing w:line="259" w:lineRule="auto" w:after="60"/>
        <w:jc w:val="left"/>
      </w:pPr>
      <w:r>
        <w:t>ChainCortex AI GmbH</w:t>
      </w:r>
    </w:p>
    <w:p>
      <w:pPr>
        <w:spacing w:line="259" w:lineRule="auto" w:after="60"/>
        <w:jc w:val="left"/>
      </w:pPr>
      <w:r>
        <w:t>Linienstraße 219a, 10119 Berlin</w:t>
      </w:r>
    </w:p>
    <w:p>
      <w:pPr>
        <w:spacing w:line="259" w:lineRule="auto" w:after="60"/>
        <w:jc w:val="left"/>
      </w:pPr>
      <w:r>
        <w:t>vertreten durch den Geschäftsführer Jasper Knoebel-Brandeis</w:t>
      </w:r>
    </w:p>
    <w:p>
      <w:pPr>
        <w:spacing w:line="259" w:lineRule="auto" w:after="60"/>
        <w:jc w:val="left"/>
      </w:pPr>
      <w:r>
        <w:t>Handelsregister: Amtsgericht Charlottenburg HRB 234567 B</w:t>
      </w:r>
    </w:p>
    <w:p>
      <w:pPr>
        <w:spacing w:line="259" w:lineRule="auto" w:after="60"/>
        <w:jc w:val="left"/>
      </w:pPr>
      <w:r>
        <w:t>wird gemäß §§ 27, 28 InsO am 01.04.2026, 14:00 Uhr,</w:t>
      </w:r>
    </w:p>
    <w:p>
      <w:pPr>
        <w:spacing w:line="259" w:lineRule="auto" w:after="60"/>
        <w:jc w:val="left"/>
      </w:pPr>
      <w:r>
        <w:t>DAS INSOLVENZVERFAHREN ÜBER DAS VERMÖGEN DER SCHULDNERIN ERÖFFNET.</w:t>
      </w:r>
    </w:p>
    <w:p>
      <w:pPr>
        <w:spacing w:line="259" w:lineRule="auto" w:after="60"/>
        <w:jc w:val="left"/>
      </w:pPr>
      <w:r>
        <w:t>Eröffnungsgründe: Zahlungsunfähigkeit (§ 17 InsO) und Überschuldung (§ 19 InsO).</w:t>
      </w:r>
    </w:p>
    <w:p>
      <w:pPr>
        <w:spacing w:line="259" w:lineRule="auto" w:after="60"/>
        <w:jc w:val="left"/>
      </w:pPr>
      <w:r>
        <w:t>Zum Insolvenzverwalter wird bestellt:</w:t>
      </w:r>
    </w:p>
    <w:p>
      <w:pPr>
        <w:spacing w:line="259" w:lineRule="auto" w:after="60"/>
        <w:jc w:val="left"/>
      </w:pPr>
      <w:r>
        <w:t>Herr Rechtsanwalt Dr. Konrad Vorberg</w:t>
      </w:r>
    </w:p>
    <w:p>
      <w:pPr>
        <w:spacing w:line="259" w:lineRule="auto" w:after="60"/>
        <w:jc w:val="left"/>
      </w:pPr>
      <w:r>
        <w:t>Vorberg + Steinhausen Rechtsanwälte mbB</w:t>
      </w:r>
    </w:p>
    <w:p>
      <w:pPr>
        <w:spacing w:line="259" w:lineRule="auto" w:after="60"/>
        <w:jc w:val="left"/>
      </w:pPr>
      <w:r>
        <w:t>Charlottenstraße 65, 10117 Berlin</w:t>
      </w:r>
    </w:p>
    <w:p>
      <w:pPr>
        <w:spacing w:line="259" w:lineRule="auto" w:after="60"/>
        <w:jc w:val="left"/>
      </w:pPr>
      <w:r>
        <w:t>Tel.: +49 30 23476-200, E-Mail: konrad.vorberg@vorberg-steinhausen.de</w:t>
      </w:r>
    </w:p>
    <w:p>
      <w:pPr>
        <w:spacing w:line="259" w:lineRule="auto" w:after="60"/>
        <w:jc w:val="left"/>
      </w:pPr>
      <w:r>
        <w:t>Bestellurkunde geht gesondert zu.</w:t>
      </w:r>
    </w:p>
    <w:p>
      <w:pPr>
        <w:spacing w:line="259" w:lineRule="auto" w:after="60"/>
        <w:jc w:val="left"/>
      </w:pPr>
      <w:r>
        <w:t>Die Gläubiger werden aufgefordert, ihre Forderungen binnen vier Wochen ab</w:t>
      </w:r>
    </w:p>
    <w:p>
      <w:pPr>
        <w:spacing w:line="259" w:lineRule="auto" w:after="60"/>
        <w:jc w:val="left"/>
      </w:pPr>
      <w:r>
        <w:t>heute zur Insolvenztabelle anzumelden (§ 28 I InsO). Die Anmeldung hat</w:t>
      </w:r>
    </w:p>
    <w:p>
      <w:pPr>
        <w:spacing w:line="259" w:lineRule="auto" w:after="60"/>
        <w:jc w:val="left"/>
      </w:pPr>
      <w:r>
        <w:t>schriftlich gegenüber dem Insolvenzverwalter zu erfolgen.</w:t>
      </w:r>
    </w:p>
    <w:p>
      <w:pPr>
        <w:spacing w:line="259" w:lineRule="auto" w:after="60"/>
        <w:jc w:val="left"/>
      </w:pPr>
      <w:r>
        <w:t>Berichtstermin gemäß § 156 InsO:</w:t>
      </w:r>
    </w:p>
    <w:p>
      <w:pPr>
        <w:spacing w:line="259" w:lineRule="auto" w:after="60"/>
        <w:jc w:val="left"/>
      </w:pPr>
      <w:r>
        <w:t>Datum:   Donnerstag, 11.06.2026, 09:00 Uhr</w:t>
      </w:r>
    </w:p>
    <w:p>
      <w:pPr>
        <w:spacing w:line="259" w:lineRule="auto" w:after="60"/>
        <w:jc w:val="left"/>
      </w:pPr>
      <w:r>
        <w:t>Ort:     AG Charlottenburg, Saal 4188</w:t>
      </w:r>
    </w:p>
    <w:p>
      <w:pPr>
        <w:spacing w:line="259" w:lineRule="auto" w:after="60"/>
        <w:jc w:val="left"/>
      </w:pPr>
      <w:r>
        <w:t>Anhörung: § 158 InsO Stilllegung/Fortführung</w:t>
      </w:r>
    </w:p>
    <w:p>
      <w:pPr>
        <w:spacing w:line="259" w:lineRule="auto" w:after="60"/>
        <w:jc w:val="left"/>
      </w:pPr>
      <w:r>
        <w:t>Prüfungstermin gemäß § 176 InsO:</w:t>
      </w:r>
    </w:p>
    <w:p>
      <w:pPr>
        <w:spacing w:line="259" w:lineRule="auto" w:after="60"/>
        <w:jc w:val="left"/>
      </w:pPr>
      <w:r>
        <w:t>Datum:   Donnerstag, 25.06.2026, 09:30 Uhr</w:t>
      </w:r>
    </w:p>
    <w:p>
      <w:pPr>
        <w:spacing w:line="259" w:lineRule="auto" w:after="60"/>
        <w:jc w:val="left"/>
      </w:pPr>
      <w:r>
        <w:t>Ort:     AG Charlottenburg, Saal 4188</w:t>
      </w:r>
    </w:p>
    <w:p>
      <w:pPr>
        <w:spacing w:line="259" w:lineRule="auto" w:after="60"/>
        <w:jc w:val="left"/>
      </w:pPr>
      <w:r>
        <w:t>Mit der Eröffnung des Insolvenzverfahrens geht die Verwaltungs- und</w:t>
      </w:r>
    </w:p>
    <w:p>
      <w:pPr>
        <w:spacing w:line="259" w:lineRule="auto" w:after="60"/>
        <w:jc w:val="left"/>
      </w:pPr>
      <w:r>
        <w:t>Verfügungsbefugnis über das zur Insolvenzmasse gehörende Vermögen der</w:t>
      </w:r>
    </w:p>
    <w:p>
      <w:pPr>
        <w:spacing w:line="259" w:lineRule="auto" w:after="60"/>
        <w:jc w:val="left"/>
      </w:pPr>
      <w:r>
        <w:t>Schuldnerin nach § 80 InsO auf den Insolvenzverwalter über. Verfügungen</w:t>
      </w:r>
    </w:p>
    <w:p>
      <w:pPr>
        <w:spacing w:line="259" w:lineRule="auto" w:after="60"/>
        <w:jc w:val="left"/>
      </w:pPr>
      <w:r>
        <w:t>der Schuldnerin über Gegenstände der Insolvenzmasse sind nach § 81 InsO</w:t>
      </w:r>
    </w:p>
    <w:p>
      <w:pPr>
        <w:spacing w:line="259" w:lineRule="auto" w:after="60"/>
        <w:jc w:val="left"/>
      </w:pPr>
      <w:r>
        <w:t>unwirksam.</w:t>
      </w:r>
    </w:p>
    <w:p>
      <w:pPr>
        <w:spacing w:line="259" w:lineRule="auto" w:after="60"/>
        <w:jc w:val="left"/>
      </w:pPr>
      <w:r>
        <w:t>Veröffentlichung: § 9 InsO i. V. m. § 30 InsO; Eintragung in das</w:t>
      </w:r>
    </w:p>
    <w:p>
      <w:pPr>
        <w:spacing w:line="259" w:lineRule="auto" w:after="60"/>
        <w:jc w:val="left"/>
      </w:pPr>
      <w:r>
        <w:t>Handelsregister § 31 InsO.</w:t>
      </w:r>
    </w:p>
    <w:p>
      <w:pPr>
        <w:spacing w:line="259" w:lineRule="auto" w:after="60"/>
        <w:jc w:val="left"/>
      </w:pPr>
      <w:r>
        <w:t>Berlin, den 01.04.2026</w:t>
      </w:r>
    </w:p>
    <w:p>
      <w:pPr>
        <w:spacing w:line="259" w:lineRule="auto" w:after="60"/>
        <w:jc w:val="left"/>
      </w:pPr>
      <w:r>
        <w:t>Bandel</w:t>
      </w:r>
    </w:p>
    <w:p>
      <w:pPr>
        <w:spacing w:line="259" w:lineRule="auto" w:after="60"/>
        <w:jc w:val="left"/>
      </w:pPr>
      <w:r>
        <w:t>Richter am Amtsgericht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Anmerkungen Verwalterkanzlei</w:t>
      </w:r>
    </w:p>
    <w:p>
      <w:pPr>
        <w:pStyle w:val="ListBullet"/>
        <w:spacing w:line="259" w:lineRule="auto" w:after="60"/>
      </w:pPr>
      <w:r>
        <w:t xml:space="preserve">Die Eröffnung wurde am </w:t>
      </w:r>
      <w:r>
        <w:rPr>
          <w:b/>
        </w:rPr>
        <w:t>02.04.2026 um 00:00 Uhr</w:t>
      </w:r>
      <w:r>
        <w:t xml:space="preserve"> auf insolvenzbekanntmachungen.de veröffentlicht. § 9 InsO-Frist (zwei Tage nach Veröffentlichung) damit ab 04.04.2026.</w:t>
      </w:r>
    </w:p>
    <w:p>
      <w:pPr>
        <w:pStyle w:val="ListBullet"/>
        <w:spacing w:line="259" w:lineRule="auto" w:after="60"/>
      </w:pPr>
      <w:r>
        <w:t>Die Schuldnerin ist gemäß § 11 GmbHG i. V. m. § 75 GmbHG aufgelöst (mit Eröffnung); die Firma führt den Zusatz „i. Ins." (in Insolvenz).</w:t>
      </w:r>
    </w:p>
    <w:p>
      <w:pPr>
        <w:pStyle w:val="ListBullet"/>
        <w:spacing w:line="259" w:lineRule="auto" w:after="60"/>
      </w:pPr>
      <w:r>
        <w:t xml:space="preserve">Die VV-Befugnis des bisherigen Geschäftsführers ist gemäß § 80 I InsO mit Wirkung 01.04.2026, 14:00 Uhr </w:t>
      </w:r>
      <w:r>
        <w:rPr>
          <w:b/>
        </w:rPr>
        <w:t>erloschen</w:t>
      </w:r>
      <w:r>
        <w:t>. Mitwirkung des ehemaligen GF nur noch im Rahmen § 97 InsO (Auskunfts- und Mitwirkungspflichten).</w:t>
      </w:r>
    </w:p>
    <w:p>
      <w:pPr>
        <w:pStyle w:val="ListBullet"/>
        <w:spacing w:line="259" w:lineRule="auto" w:after="60"/>
      </w:pPr>
      <w:r>
        <w:t>Mitteilung an Banken (Sperrung Konten, neue Treuhandkonten Verwalter) ausgegangen 01.04.2026, 16:30 Uhr.</w:t>
      </w:r>
    </w:p>
    <w:p>
      <w:pPr>
        <w:pStyle w:val="ListBullet"/>
        <w:spacing w:line="259" w:lineRule="auto" w:after="60"/>
      </w:pPr>
      <w:r>
        <w:t>Mitteilung an DPMA bzgl. Marken-Inhaberschaft: nicht zwingend (Marken bleiben formell auf Schuldnerin eingetragen bis Veräußerung), aber Verwalterhinweis ausgegangen 02.04.2026.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