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04 — Letter of Intent (LOI) Voracis Ventures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15.05.2026</w:t>
      </w:r>
    </w:p>
    <w:p>
      <w:pPr>
        <w:spacing w:line="259" w:lineRule="auto" w:after="60"/>
        <w:jc w:val="left"/>
      </w:pPr>
      <w:r>
        <w:rPr>
          <w:b/>
        </w:rPr>
        <w:t>Status:</w:t>
      </w:r>
      <w:r>
        <w:t xml:space="preserve"> Nicht-bindender Vorvertrag (Ausnahme: NDA-, Exklusivitäts-, Kostenregelungen — bindend)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Parteien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Verkäufer-Seite</w:t>
      </w:r>
      <w:r>
        <w:rPr>
          <w:rFonts w:ascii="Times New Roman" w:hAnsi="Times New Roman"/>
          <w:b/>
          <w:sz w:val="22"/>
        </w:rPr>
        <w:t xml:space="preserve"> (vertreten durch den Verwalter):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Rechtsanwalt Dr. Konrad Vorberg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in seiner Eigenschaft als Insolvenzverwalter über das Vermögen der</w:t>
      </w:r>
    </w:p>
    <w:p>
      <w:pPr>
        <w:spacing w:line="259" w:lineRule="auto" w:after="60"/>
        <w:jc w:val="left"/>
      </w:pPr>
      <w:r>
        <w:t>ChainCortex AI GmbH, AG Charlottenburg 36 IN 1342/26</w:t>
      </w:r>
    </w:p>
    <w:p>
      <w:pPr>
        <w:spacing w:line="259" w:lineRule="auto" w:after="60"/>
        <w:jc w:val="left"/>
      </w:pPr>
      <w:r>
        <w:t>Anschrift Verwalter-Kanzlei: Charlottenstraße 65, 10117 Berlin</w:t>
      </w:r>
    </w:p>
    <w:p>
      <w:pPr>
        <w:pStyle w:val="ListNumber"/>
        <w:spacing w:line="259" w:lineRule="auto" w:after="60"/>
      </w:pPr>
      <w:r>
        <w:rPr>
          <w:b/>
        </w:rPr>
        <w:t>Käufer-Seite:</w:t>
      </w:r>
    </w:p>
    <w:p>
      <w:pPr>
        <w:spacing w:line="259" w:lineRule="auto" w:after="60"/>
        <w:jc w:val="left"/>
      </w:pPr>
      <w:r>
        <w:t>Voracis Ventures GmbH (Newco)</w:t>
      </w:r>
    </w:p>
    <w:p>
      <w:pPr>
        <w:spacing w:line="259" w:lineRule="auto" w:after="60"/>
        <w:jc w:val="left"/>
      </w:pPr>
      <w:r>
        <w:t>Kurfürstendamm 188, 10707 Berlin</w:t>
      </w:r>
    </w:p>
    <w:p>
      <w:pPr>
        <w:spacing w:line="259" w:lineRule="auto" w:after="60"/>
        <w:jc w:val="left"/>
      </w:pPr>
      <w:r>
        <w:t>AG Charlottenburg HRB 245789 B</w:t>
      </w:r>
    </w:p>
    <w:p>
      <w:pPr>
        <w:spacing w:line="259" w:lineRule="auto" w:after="60"/>
        <w:jc w:val="left"/>
      </w:pPr>
      <w:r>
        <w:t>vertreten durch die Geschäftsführerin Dr. Carlotta Hennings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II. Transaktion in Stichpunkten</w:t>
      </w:r>
    </w:p>
    <w:p>
      <w:pPr>
        <w:pStyle w:val="ListBullet"/>
        <w:spacing w:line="259" w:lineRule="auto" w:after="60"/>
      </w:pPr>
      <w:r>
        <w:rPr>
          <w:b/>
        </w:rPr>
        <w:t>Asset Deal</w:t>
      </w:r>
      <w:r>
        <w:t xml:space="preserve"> aus eröffnetem Insolvenzverfahren (§§ 159 ff. InsO).</w:t>
      </w:r>
    </w:p>
    <w:p>
      <w:pPr>
        <w:pStyle w:val="ListBullet"/>
        <w:spacing w:line="259" w:lineRule="auto" w:after="60"/>
      </w:pPr>
      <w:r>
        <w:rPr>
          <w:b/>
        </w:rPr>
        <w:t>Übernahmegegenstand:</w:t>
      </w:r>
      <w:r>
        <w:t xml:space="preserve"> immaterielle Vermögensgegenstände der Schuldnerin gemäß Anlage 1 (IP-Rights — Software, Marken, Domains, Know-how) sowie die in Anlage 2 benannten Arbeitsverhältnisse.</w:t>
      </w:r>
    </w:p>
    <w:p>
      <w:pPr>
        <w:pStyle w:val="ListBullet"/>
        <w:spacing w:line="259" w:lineRule="auto" w:after="60"/>
      </w:pPr>
      <w:r>
        <w:rPr>
          <w:b/>
        </w:rPr>
        <w:t>Kaufpreis:</w:t>
      </w:r>
      <w:r>
        <w:t xml:space="preserve"> [400.000,00 EUR] — vierhunderttausend Euro — als vorläufige Eckzahl; finale Höhe vorbehaltlich Restdiligenz und Gläubigerausschusszustimmung.</w:t>
      </w:r>
    </w:p>
    <w:p>
      <w:pPr>
        <w:pStyle w:val="ListBullet"/>
        <w:spacing w:line="259" w:lineRule="auto" w:after="60"/>
      </w:pPr>
      <w:r>
        <w:rPr>
          <w:b/>
        </w:rPr>
        <w:t>Übernahmestichtag:</w:t>
      </w:r>
      <w:r>
        <w:t xml:space="preserve"> 01.07.2026, 00:00 Uhr.</w:t>
      </w:r>
    </w:p>
    <w:p>
      <w:pPr>
        <w:pStyle w:val="ListBullet"/>
        <w:spacing w:line="259" w:lineRule="auto" w:after="60"/>
      </w:pPr>
      <w:r>
        <w:rPr>
          <w:b/>
        </w:rPr>
        <w:t>Verfahrensvorbehalt:</w:t>
      </w:r>
      <w:r>
        <w:t xml:space="preserve"> § 160 InsO Zustimmung des Gläubigerausschusses; § 162 InsO Zustimmung der Gläubigerversammlung gilt als erteilt, soweit Massearm-Verfahrens-Privileg nicht greift; hier: ohne Gläubigerversammlungs-Vorbehalt.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Exklusivität und Zeitschiene</w:t>
      </w:r>
    </w:p>
    <w:p>
      <w:pPr>
        <w:spacing w:line="259" w:lineRule="auto" w:after="60"/>
        <w:jc w:val="left"/>
      </w:pPr>
      <w:r>
        <w:t xml:space="preserve">Voracis erhält bis </w:t>
      </w:r>
      <w:r>
        <w:rPr>
          <w:b/>
        </w:rPr>
        <w:t>30.06.2026</w:t>
      </w:r>
      <w:r>
        <w:t xml:space="preserve"> Exklusivverhandlungen. In dieser Phase wird der Verwalter keine bindenden Angebote anderer Bieter annehmen oder verhandeln. Verstöße gegen Exklusivität führen zur Pflicht zum Ersatz der nachgewiesenen Transaktionskosten der Voracis (gedeckelt auf 60.000 EUR).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LOI-Unterzeichnung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Confirmatory Diligence durch Voracis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16.05. – 14.06.2026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Gläubigerausschuss-Beschluss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APA-Unterzeichnung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Übernahmestichtag (Closing)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IV. DD-Zugang</w:t>
      </w:r>
    </w:p>
    <w:p>
      <w:pPr>
        <w:spacing w:line="259" w:lineRule="auto" w:after="60"/>
        <w:jc w:val="left"/>
      </w:pPr>
      <w:r>
        <w:t>Voracis erhält ungefilterten Zugang zum Datenraum „Drooms ChainCortex AI Q2 2026" (28 Tage). Im Datenraum vorhanden: Buchhaltung 2022-2025, alle Gesellschafterbeschlüsse, Software-Repositories (read-only token), Markenakten, Kundendaten-Inventur (in zwei Tabellen, B2B und B2C), Arbeitsverträge, Sozialplan-Entwürfe.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Kostentragung</w:t>
      </w:r>
    </w:p>
    <w:p>
      <w:pPr>
        <w:spacing w:line="259" w:lineRule="auto" w:after="60"/>
        <w:jc w:val="left"/>
      </w:pPr>
      <w:r>
        <w:t>Jede Partei trägt ihre Beratungskosten selbst (§ 158 III BRAO; Verwalterkosten sind Masseforderung). Notar- und DPMA-Umschreibungskosten trägt der Käufer (siehe Vertrags-§ 9 Kosten).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NDA / Vertraulichkeit</w:t>
      </w:r>
    </w:p>
    <w:p>
      <w:pPr>
        <w:spacing w:line="259" w:lineRule="auto" w:after="60"/>
        <w:jc w:val="left"/>
      </w:pPr>
      <w:r>
        <w:t>Voracis hat das Standard-NDA der Verwalter-Kanzlei vom 02.05.2026 (Kennziffer NDA-CC-026) unterzeichnet. Vertraulichkeitspflicht bis 24 Monate nach Vertragsbeendigung oder Closing-Vollzug.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Kein Verzicht auf Verwerterpflicht</w:t>
      </w:r>
    </w:p>
    <w:p>
      <w:pPr>
        <w:spacing w:line="259" w:lineRule="auto" w:after="60"/>
        <w:jc w:val="left"/>
      </w:pPr>
      <w:r>
        <w:t>Der Verwalter weist ausdrücklich darauf hin, dass die Aufnahme dieser Exklusivität die Pflicht zur höchstmöglichen Erlöserzielung gemäß § 159 InsO nicht beschränkt. Bei deutlich überlegenem Angebot Dritter bleibt sich der Verwalter vorbehalten, die Exklusivität zu durchbrechen — gegen ggf. Schadensersatz für nachgewiesene Voracis-Aufwendungen.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VIII. Schlussbestimmungen</w:t>
      </w:r>
    </w:p>
    <w:p>
      <w:pPr>
        <w:spacing w:line="259" w:lineRule="auto" w:after="60"/>
        <w:jc w:val="left"/>
      </w:pPr>
      <w:r>
        <w:t xml:space="preserve">Mit Ausnahme der vorstehenden Ziffern III (Exklusivität), V (Kostentragung), VI (NDA) ist dieser LOI </w:t>
      </w:r>
      <w:r>
        <w:rPr>
          <w:b/>
        </w:rPr>
        <w:t>nicht bindend</w:t>
      </w:r>
      <w:r>
        <w:t>. Rechtswahl: deutsches Recht; Gerichtsstand Berlin. Schiedsklausel nicht vereinbart.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Berlin, den 15.05.2026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Dr. Konrad Vorberg, Insolvenzverwalter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Dr. Carlotta Hennings, Voracis Ventures GmbH</w:t>
      </w:r>
    </w:p>
    <w:p>
      <w:pPr>
        <w:spacing w:line="259" w:lineRule="auto" w:after="60"/>
        <w:jc w:val="left"/>
      </w:pPr>
      <w:r>
        <w:t>Anlagen:</w:t>
      </w:r>
    </w:p>
    <w:p>
      <w:pPr>
        <w:pStyle w:val="ListBullet"/>
        <w:spacing w:line="259" w:lineRule="auto" w:after="60"/>
      </w:pPr>
      <w:r>
        <w:t>Anlage 1 — IP-Rights-Liste (vorläufig)</w:t>
      </w:r>
    </w:p>
    <w:p>
      <w:pPr>
        <w:pStyle w:val="ListBullet"/>
        <w:spacing w:line="259" w:lineRule="auto" w:after="60"/>
      </w:pPr>
      <w:r>
        <w:t>Anlage 2 — Arbeitsverhältnisse-Übersicht (anonymisiert)</w:t>
      </w:r>
    </w:p>
    <w:p>
      <w:pPr>
        <w:pStyle w:val="ListBullet"/>
        <w:spacing w:line="259" w:lineRule="auto" w:after="60"/>
      </w:pPr>
      <w:r>
        <w:t>Anlage 3 — NDA vom 02.05.2026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