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</w:pPr>
      <w:r>
        <w:rPr>
          <w:rFonts w:ascii="Times New Roman" w:hAnsi="Times New Roman"/>
          <w:b/>
          <w:color w:val="1F3C54"/>
          <w:sz w:val="28"/>
        </w:rPr>
        <w:t>Vorberg + Steinhausen Rechtsanwälte mbB</w:t>
      </w:r>
    </w:p>
    <w:p>
      <w:pPr>
        <w:spacing w:after="60" w:before="120" w:line="259" w:lineRule="auto"/>
      </w:pPr>
      <w:r>
        <w:rPr>
          <w:rFonts w:ascii="Times New Roman" w:hAnsi="Times New Roman"/>
          <w:b/>
          <w:sz w:val="22"/>
        </w:rPr>
        <w:t>Kurfürstendamm 213, 10719 Berlin · Insolvenzverwaltung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color w:val="555555"/>
          <w:sz w:val="22"/>
        </w:rPr>
        <w:t>AG Charlottenburg 36 IN 1342/26 · Nachlaufkontrolle · Stand: 04. Juli 2026</w:t>
      </w:r>
    </w:p>
    <w:p>
      <w:pPr>
        <w:spacing w:line="259" w:lineRule="auto" w:after="60"/>
      </w:pP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Post-Closing-Anzeigen und Folgepflichten</w:t>
      </w:r>
    </w:p>
    <w:p>
      <w:pPr>
        <w:spacing w:line="259" w:lineRule="auto" w:after="60"/>
      </w:pPr>
      <w:r>
        <w:rPr>
          <w:b/>
        </w:rPr>
        <w:t>Betreff: Nachlaufpflichten nach Vollzug des Asset Deals ChainCortex AI GmbH / Voracis Ventures GmbH.</w:t>
      </w:r>
    </w:p>
    <w:p>
      <w:pPr>
        <w:spacing w:line="259" w:lineRule="auto" w:after="60"/>
      </w:pPr>
      <w:r>
        <w:t>Dieses Aktenstück dokumentiert, welche Anzeigen und Folgehandlungen nach Closing noch zu erledigen sind und wer sie verantwortet.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Register und Schutzrechte</w:t>
      </w:r>
    </w:p>
    <w:p>
      <w:pPr>
        <w:spacing w:line="259" w:lineRule="auto" w:after="60"/>
      </w:pPr>
      <w:r>
        <w:t>Die Erwerberseite bereitet die Markenumschreibung beim Deutschen Patent- und Markenamt vor. Die Insolvenzverwaltung liefert Vollmacht, Kaufvertragsauszug und Nachweis der Verfügungsbefugnis. Die Handelsregisterakte der Schuldnerin wird nicht durch den Asset Deal geändert.</w:t>
      </w:r>
    </w:p>
    <w:p>
      <w:pPr>
        <w:pStyle w:val="Heading2"/>
        <w:spacing w:line="259" w:lineRule="auto" w:after="60"/>
      </w:pPr>
      <w:r>
        <w:t>Datenschutz und Kundenkommunikation</w:t>
      </w:r>
    </w:p>
    <w:p>
      <w:pPr>
        <w:spacing w:line="259" w:lineRule="auto" w:after="60"/>
      </w:pPr>
      <w:r>
        <w:t>Aktive Kunden erhalten ein abgestimmtes Informationsschreiben zur Vertrags- und Datenüberleitung. Privatkunden-Testaccounts werden nicht übertragen, sondern nach Löschprotokoll bereinigt. Für Supportanfragen bleibt bis 31. Juli 2026 ein gemeinsames Postfach geöffnet.</w:t>
      </w:r>
    </w:p>
    <w:p>
      <w:pPr>
        <w:pStyle w:val="Heading2"/>
        <w:spacing w:line="259" w:lineRule="auto" w:after="60"/>
      </w:pPr>
      <w:r>
        <w:t>Arbeitnehmer und Betriebsmittel</w:t>
      </w:r>
    </w:p>
    <w:p>
      <w:pPr>
        <w:spacing w:line="259" w:lineRule="auto" w:after="60"/>
      </w:pPr>
      <w:r>
        <w:t>Die zehn übergehenden Arbeitsverhältnisse werden mit Eintrittsdatum 01. Juli 2026 an Voracis gemeldet. Zwei nicht übernommene Arbeitnehmer bleiben in der Insolvenzmasse; hierzu sind Insolvenzgeld, Kündigungsfristen und etwaige Freistellung gesondert zu bearbeiten.</w:t>
      </w:r>
    </w:p>
    <w:p>
      <w:pPr>
        <w:pStyle w:val="Heading2"/>
        <w:spacing w:line="259" w:lineRule="auto" w:after="60"/>
      </w:pPr>
      <w:r>
        <w:t>Wiedervorlagen</w:t>
      </w:r>
    </w:p>
    <w:p>
      <w:pPr>
        <w:spacing w:line="259" w:lineRule="auto" w:after="60"/>
      </w:pPr>
      <w:r>
        <w:t>Frist 08. Juli 2026: Bestätigung Kundenschreiben. Frist 15. Juli 2026: DPMA-Antrag. Frist 31. Juli 2026: Abschlussbericht zu gelöschten Alt-Daten und geschlossenen Systemzugängen.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Post-Closing-Kontrolle ChainCortex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Arial"/>
      <w:b/>
      <w:bCs/>
      <w:color w:val="1F3C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Arial"/>
      <w:b/>
      <w:bCs/>
      <w:color w:val="1F3C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