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line="259" w:lineRule="auto"/>
        <w:jc w:val="center"/>
      </w:pPr>
      <w:r>
        <w:rPr>
          <w:rFonts w:ascii="Times New Roman" w:hAnsi="Times New Roman"/>
          <w:b/>
          <w:i w:val="0"/>
          <w:sz w:val="28"/>
          <w:rFonts w:ascii="Times New Roman" w:hAnsi="Times New Roman" w:cs="Times New Roman"/>
        </w:rPr>
        <w:t>KAUFVERTRAG (Asset Deal)</w:t>
      </w:r>
    </w:p>
    <w:p>
      <w:pPr>
        <w:spacing w:after="60" w:before="120" w:line="259" w:lineRule="auto"/>
        <w:jc w:val="center"/>
      </w:pPr>
      <w:r>
        <w:rPr>
          <w:rFonts w:ascii="Times New Roman" w:hAnsi="Times New Roman"/>
          <w:b/>
          <w:i w:val="0"/>
          <w:sz w:val="22"/>
          <w:rFonts w:ascii="Times New Roman" w:hAnsi="Times New Roman" w:cs="Times New Roman"/>
        </w:rPr>
        <w:t>zwischen</w:t>
      </w:r>
    </w:p>
    <w:p>
      <w:pPr>
        <w:spacing w:after="60" w:before="120" w:line="259" w:lineRule="auto"/>
        <w:jc w:val="center"/>
      </w:pPr>
      <w:r>
        <w:rPr>
          <w:rFonts w:ascii="Times New Roman" w:hAnsi="Times New Roman"/>
          <w:b/>
          <w:i w:val="0"/>
          <w:sz w:val="22"/>
          <w:rFonts w:ascii="Times New Roman" w:hAnsi="Times New Roman" w:cs="Times New Roman"/>
        </w:rPr>
        <w:t>Herrn Dr. Konrad Vorberg</w:t>
      </w:r>
    </w:p>
    <w:p>
      <w:pPr>
        <w:spacing w:after="60" w:before="120" w:line="259" w:lineRule="auto"/>
        <w:jc w:val="center"/>
      </w:pPr>
      <w:r>
        <w:rPr>
          <w:rFonts w:ascii="Times New Roman" w:hAnsi="Times New Roman"/>
          <w:b/>
          <w:i w:val="0"/>
          <w:sz w:val="22"/>
          <w:rFonts w:ascii="Times New Roman" w:hAnsi="Times New Roman" w:cs="Times New Roman"/>
        </w:rPr>
        <w:t>geschäftsansässig Charlottenstraße 65, 10117 Berlin</w:t>
      </w:r>
    </w:p>
    <w:p>
      <w:pPr>
        <w:spacing w:after="60" w:before="120" w:line="259" w:lineRule="auto"/>
        <w:jc w:val="center"/>
      </w:pPr>
      <w:r>
        <w:rPr>
          <w:rFonts w:ascii="Times New Roman" w:hAnsi="Times New Roman"/>
          <w:b/>
          <w:i w:val="0"/>
          <w:sz w:val="22"/>
          <w:rFonts w:ascii="Times New Roman" w:hAnsi="Times New Roman" w:cs="Times New Roman"/>
        </w:rPr>
        <w:t>in seiner Eigenschaft als Insolvenzverwalter über das Vermögen der</w:t>
      </w:r>
    </w:p>
    <w:p>
      <w:pPr>
        <w:spacing w:after="60" w:before="120" w:line="259" w:lineRule="auto"/>
        <w:jc w:val="center"/>
      </w:pPr>
      <w:r>
        <w:rPr>
          <w:rFonts w:ascii="Times New Roman" w:hAnsi="Times New Roman"/>
          <w:b/>
          <w:i w:val="0"/>
          <w:sz w:val="22"/>
          <w:rFonts w:ascii="Times New Roman" w:hAnsi="Times New Roman" w:cs="Times New Roman"/>
        </w:rPr>
        <w:t>ChainCortex AI GmbH, Linienstraße 219a, 10119 Berlin</w:t>
      </w:r>
    </w:p>
    <w:p>
      <w:pPr>
        <w:spacing w:after="200" w:line="259" w:lineRule="auto"/>
        <w:jc w:val="center"/>
      </w:pPr>
      <w:r>
        <w:rPr>
          <w:rFonts w:ascii="Times New Roman" w:hAnsi="Times New Roman"/>
          <w:b w:val="0"/>
          <w:i/>
          <w:sz w:val="24"/>
          <w:rFonts w:ascii="Times New Roman" w:hAnsi="Times New Roman" w:cs="Times New Roman"/>
        </w:rPr>
        <w:t>(Amtsgericht Charlottenburg – HRB 234567 B; Insolvenzverfahren Az. 36 IN 1342/26)</w:t>
      </w:r>
    </w:p>
    <w:p>
      <w:pPr>
        <w:spacing w:after="60" w:before="120" w:line="259" w:lineRule="auto"/>
        <w:jc w:val="center"/>
      </w:pPr>
      <w:r>
        <w:rPr>
          <w:rFonts w:ascii="Times New Roman" w:hAnsi="Times New Roman"/>
          <w:b/>
          <w:i w:val="0"/>
          <w:sz w:val="22"/>
          <w:rFonts w:ascii="Times New Roman" w:hAnsi="Times New Roman" w:cs="Times New Roman"/>
        </w:rPr>
        <w:t>– nachfolgend „Verkäufer“ genannt –</w:t>
      </w:r>
    </w:p>
    <w:p>
      <w:pPr>
        <w:spacing w:after="240" w:line="259" w:lineRule="auto"/>
        <w:jc w:val="center"/>
      </w:pPr>
      <w:r>
        <w:rPr>
          <w:rFonts w:ascii="Times New Roman" w:hAnsi="Times New Roman"/>
          <w:b w:val="0"/>
          <w:i w:val="0"/>
          <w:sz w:val="24"/>
          <w:rFonts w:ascii="Times New Roman" w:hAnsi="Times New Roman" w:cs="Times New Roman"/>
        </w:rPr>
        <w:t>und</w:t>
      </w:r>
    </w:p>
    <w:p>
      <w:pPr>
        <w:spacing w:after="40" w:line="259" w:lineRule="auto"/>
        <w:jc w:val="center"/>
      </w:pPr>
      <w:r>
        <w:rPr>
          <w:rFonts w:ascii="Times New Roman" w:hAnsi="Times New Roman"/>
          <w:b/>
          <w:i w:val="0"/>
          <w:sz w:val="24"/>
          <w:rFonts w:ascii="Times New Roman" w:hAnsi="Times New Roman" w:cs="Times New Roman"/>
        </w:rPr>
        <w:t>Voracis Ventures GmbH</w:t>
      </w:r>
    </w:p>
    <w:p>
      <w:pPr>
        <w:spacing w:after="40" w:line="259" w:lineRule="auto"/>
        <w:jc w:val="center"/>
      </w:pPr>
      <w:r>
        <w:rPr>
          <w:rFonts w:ascii="Times New Roman" w:hAnsi="Times New Roman"/>
          <w:b w:val="0"/>
          <w:i w:val="0"/>
          <w:sz w:val="24"/>
          <w:rFonts w:ascii="Times New Roman" w:hAnsi="Times New Roman" w:cs="Times New Roman"/>
        </w:rPr>
        <w:t>Kurfürstendamm 188, 10707 Berlin</w:t>
      </w:r>
    </w:p>
    <w:p>
      <w:pPr>
        <w:spacing w:after="40" w:line="259" w:lineRule="auto"/>
        <w:jc w:val="center"/>
      </w:pPr>
      <w:r>
        <w:rPr>
          <w:rFonts w:ascii="Times New Roman" w:hAnsi="Times New Roman"/>
          <w:b w:val="0"/>
          <w:i w:val="0"/>
          <w:sz w:val="24"/>
          <w:rFonts w:ascii="Times New Roman" w:hAnsi="Times New Roman" w:cs="Times New Roman"/>
        </w:rPr>
        <w:t>eingetragen im Handelsregister des Amtsgerichts Charlottenburg unter HRB 245789 B,</w:t>
      </w:r>
    </w:p>
    <w:p>
      <w:pPr>
        <w:spacing w:after="200" w:line="259" w:lineRule="auto"/>
        <w:jc w:val="center"/>
      </w:pPr>
      <w:r>
        <w:rPr>
          <w:rFonts w:ascii="Times New Roman" w:hAnsi="Times New Roman"/>
          <w:b w:val="0"/>
          <w:i w:val="0"/>
          <w:sz w:val="24"/>
          <w:rFonts w:ascii="Times New Roman" w:hAnsi="Times New Roman" w:cs="Times New Roman"/>
        </w:rPr>
        <w:t>vertreten durch ihre Geschäftsführerin Frau Dr. Carlotta Hennings</w:t>
      </w:r>
    </w:p>
    <w:p>
      <w:pPr>
        <w:spacing w:after="240" w:line="259" w:lineRule="auto"/>
        <w:jc w:val="center"/>
      </w:pPr>
      <w:r>
        <w:rPr>
          <w:rFonts w:ascii="Times New Roman" w:hAnsi="Times New Roman"/>
          <w:b w:val="0"/>
          <w:i w:val="0"/>
          <w:sz w:val="24"/>
          <w:rFonts w:ascii="Times New Roman" w:hAnsi="Times New Roman" w:cs="Times New Roman"/>
        </w:rPr>
        <w:t>– nachfolgend „Käufer“ genannt –</w:t>
      </w:r>
    </w:p>
    <w:p>
      <w:pPr>
        <w:spacing w:after="360" w:line="259" w:lineRule="auto"/>
        <w:jc w:val="center"/>
      </w:pPr>
      <w:r>
        <w:rPr>
          <w:rFonts w:ascii="Times New Roman" w:hAnsi="Times New Roman"/>
          <w:b w:val="0"/>
          <w:i w:val="0"/>
          <w:sz w:val="24"/>
          <w:rFonts w:ascii="Times New Roman" w:hAnsi="Times New Roman" w:cs="Times New Roman"/>
        </w:rPr>
        <w:t>– alle zusammen nachfolgend „die Parteien“ –</w:t>
      </w:r>
    </w:p>
    <w:p>
      <w:pPr>
        <w:spacing w:after="160" w:line="259" w:lineRule="auto"/>
        <w:jc w:val="both"/>
      </w:pPr>
      <w:r>
        <w:rPr>
          <w:rFonts w:ascii="Times New Roman" w:hAnsi="Times New Roman"/>
          <w:b/>
          <w:i w:val="0"/>
          <w:sz w:val="28"/>
          <w:rFonts w:ascii="Times New Roman" w:hAnsi="Times New Roman" w:cs="Times New Roman"/>
        </w:rPr>
        <w:t>PRÄAMBEL</w:t>
      </w:r>
    </w:p>
    <w:p>
      <w:pPr>
        <w:spacing w:after="120" w:line="259" w:lineRule="auto"/>
        <w:jc w:val="both"/>
      </w:pPr>
      <w:r>
        <w:rPr>
          <w:rFonts w:ascii="Times New Roman" w:hAnsi="Times New Roman"/>
          <w:b w:val="0"/>
          <w:i w:val="0"/>
          <w:sz w:val="24"/>
          <w:rFonts w:ascii="Times New Roman" w:hAnsi="Times New Roman" w:cs="Times New Roman"/>
        </w:rPr>
        <w:t>(1) Das Amtsgericht Charlottenburg hat mit Beschluss vom 01.04.2026 (Az. 36 IN 1342/26) den Verkäufer zum Insolvenzverwalter über das Vermögen der im Handelsregister des Amtsgerichts Charlottenburg unter HRB 234567 B eingetragenen ChainCortex AI GmbH (die „Insolvenzschuldnerin“) bestellt.</w:t>
      </w:r>
    </w:p>
    <w:p>
      <w:pPr>
        <w:spacing w:after="120" w:line="259" w:lineRule="auto"/>
        <w:jc w:val="both"/>
      </w:pPr>
      <w:r>
        <w:rPr>
          <w:rFonts w:ascii="Times New Roman" w:hAnsi="Times New Roman"/>
          <w:b w:val="0"/>
          <w:i w:val="0"/>
          <w:sz w:val="24"/>
          <w:rFonts w:ascii="Times New Roman" w:hAnsi="Times New Roman" w:cs="Times New Roman"/>
        </w:rPr>
        <w:t>(2) Der Käufer beabsichtigt, von der Insolvenzschuldnerin nach Maßgabe der folgenden Vereinbarungen im Rahmen eines Asset Deals die in § 2 unten näher bezeichneten immateriellen Gegenstände sowie die in Anlage 2 aufgeführten Arbeitsverhältnisse als Kaufgegenstände zu erwerben und fortzuführen.</w:t>
      </w:r>
    </w:p>
    <w:p>
      <w:pPr>
        <w:spacing w:after="120" w:line="259" w:lineRule="auto"/>
        <w:jc w:val="both"/>
      </w:pPr>
      <w:r>
        <w:rPr>
          <w:rFonts w:ascii="Times New Roman" w:hAnsi="Times New Roman"/>
          <w:b w:val="0"/>
          <w:i w:val="0"/>
          <w:sz w:val="24"/>
          <w:rFonts w:ascii="Times New Roman" w:hAnsi="Times New Roman" w:cs="Times New Roman"/>
        </w:rPr>
        <w:t>(3) Der Käufer hatte Gelegenheit, sich Kenntnisse über die Kaufgegenstände zu verschaffen und im Rahmen einer Due Diligence (Datenraum Drooms, 16.05. – 14.06.2026, 28 Tage Zugang) zu prüfen.</w:t>
      </w:r>
    </w:p>
    <w:p>
      <w:pPr>
        <w:spacing w:after="120" w:line="259" w:lineRule="auto"/>
        <w:jc w:val="both"/>
      </w:pPr>
      <w:r>
        <w:rPr>
          <w:rFonts w:ascii="Times New Roman" w:hAnsi="Times New Roman"/>
          <w:b w:val="0"/>
          <w:i w:val="0"/>
          <w:sz w:val="24"/>
          <w:rFonts w:ascii="Times New Roman" w:hAnsi="Times New Roman" w:cs="Times New Roman"/>
        </w:rPr>
        <w:t>(4) Der Käufer ist eine speziell zum Zwecke des Erwerbs gegründete Auffanggesellschaft (Newco) im Sinne einer übertragenden Sanierung. Eine personelle oder gesellschaftsrechtliche Verflechtung zwischen Käufer und Insolvenzschuldnerin besteht nicht; insbesondere ist § 162 InsO (Erwerb durch besonders Interessierte) nicht einschlägig.</w:t>
      </w:r>
    </w:p>
    <w:p>
      <w:pPr>
        <w:spacing w:after="120" w:line="259" w:lineRule="auto"/>
        <w:jc w:val="both"/>
      </w:pPr>
      <w:r>
        <w:rPr>
          <w:rFonts w:ascii="Times New Roman" w:hAnsi="Times New Roman"/>
          <w:b w:val="0"/>
          <w:i w:val="0"/>
          <w:sz w:val="24"/>
          <w:rFonts w:ascii="Times New Roman" w:hAnsi="Times New Roman" w:cs="Times New Roman"/>
        </w:rPr>
        <w:t>(5) Die zu übertragenden Software-Lösungen werden zur Compliance mit den Geldwäsche- und Krypto-Aufsichtsregimen eingesetzt, insbesondere mit der Verordnung (EU) 2023/1114 über Märkte für Kryptowerte (MiCAR), der Verordnung (EU) 2024/1624 (AMLR) und den nationalen Umsetzungsbestimmungen des GwG. Der Käufer beabsichtigt die Fortführung in den bisherigen Anwendungsfeldern und übernimmt insoweit das laufende Produktentwicklungs- und Compliance-Management.</w:t>
      </w:r>
    </w:p>
    <w:p>
      <w:pPr>
        <w:spacing w:after="120" w:line="259" w:lineRule="auto"/>
        <w:jc w:val="both"/>
      </w:pPr>
      <w:r>
        <w:rPr>
          <w:rFonts w:ascii="Times New Roman" w:hAnsi="Times New Roman"/>
          <w:b w:val="0"/>
          <w:i w:val="0"/>
          <w:sz w:val="24"/>
          <w:rFonts w:ascii="Times New Roman" w:hAnsi="Times New Roman" w:cs="Times New Roman"/>
        </w:rPr>
        <w:t>Dies vorangeschickt, schließen die Parteien folgenden</w:t>
      </w:r>
    </w:p>
    <w:p>
      <w:pPr>
        <w:spacing w:after="280" w:line="259" w:lineRule="auto"/>
        <w:jc w:val="center"/>
      </w:pPr>
      <w:r>
        <w:rPr>
          <w:rFonts w:ascii="Times New Roman" w:hAnsi="Times New Roman"/>
          <w:b/>
          <w:i w:val="0"/>
          <w:sz w:val="26"/>
          <w:rFonts w:ascii="Times New Roman" w:hAnsi="Times New Roman" w:cs="Times New Roman"/>
        </w:rPr>
        <w:t>Kaufvertrag:</w:t>
      </w:r>
    </w:p>
    <w:p>
      <w:pPr>
        <w:spacing w:after="160" w:line="259" w:lineRule="auto"/>
        <w:jc w:val="both"/>
      </w:pPr>
      <w:r>
        <w:rPr>
          <w:rFonts w:ascii="Times New Roman" w:hAnsi="Times New Roman"/>
          <w:b/>
          <w:i w:val="0"/>
          <w:sz w:val="25"/>
          <w:rFonts w:ascii="Times New Roman" w:hAnsi="Times New Roman" w:cs="Times New Roman"/>
        </w:rPr>
        <w:t>§ 1   Vertragsgegenstand und Übernahmestichtag</w:t>
      </w:r>
    </w:p>
    <w:p>
      <w:pPr>
        <w:spacing w:after="120" w:line="259" w:lineRule="auto"/>
        <w:jc w:val="both"/>
      </w:pPr>
      <w:r>
        <w:rPr>
          <w:rFonts w:ascii="Times New Roman" w:hAnsi="Times New Roman"/>
          <w:b w:val="0"/>
          <w:i w:val="0"/>
          <w:sz w:val="24"/>
          <w:rFonts w:ascii="Times New Roman" w:hAnsi="Times New Roman" w:cs="Times New Roman"/>
        </w:rPr>
        <w:t>(1) Gegenstand dieses Vertrages ist die nachfolgend näher bezeichnete Übertragung von Vermögensgegenständen der Insolvenzschuldnerin sowie die in Anlage 2 aufgeführten Arbeitsverhältnisse an den Käufer.</w:t>
      </w:r>
    </w:p>
    <w:p>
      <w:pPr>
        <w:spacing w:after="120" w:line="259" w:lineRule="auto"/>
        <w:jc w:val="both"/>
      </w:pPr>
      <w:r>
        <w:rPr>
          <w:rFonts w:ascii="Times New Roman" w:hAnsi="Times New Roman"/>
          <w:b w:val="0"/>
          <w:i w:val="0"/>
          <w:sz w:val="24"/>
          <w:rFonts w:ascii="Times New Roman" w:hAnsi="Times New Roman" w:cs="Times New Roman"/>
        </w:rPr>
        <w:t>(2) Die Kaufgegenstände der Insolvenzschuldnerin werden mit wirtschaftlicher Wirkung zum 01.07.2026, 00:00 Uhr (dem „Übernahmestichtag“) an den dies annehmenden Käufer verkauft.</w:t>
      </w:r>
    </w:p>
    <w:p>
      <w:pPr>
        <w:spacing w:after="160" w:line="259" w:lineRule="auto"/>
        <w:jc w:val="both"/>
      </w:pPr>
      <w:r>
        <w:rPr>
          <w:rFonts w:ascii="Times New Roman" w:hAnsi="Times New Roman"/>
          <w:b/>
          <w:i w:val="0"/>
          <w:sz w:val="25"/>
          <w:rFonts w:ascii="Times New Roman" w:hAnsi="Times New Roman" w:cs="Times New Roman"/>
        </w:rPr>
        <w:t>§ 2   Kaufgegenstände</w:t>
      </w:r>
    </w:p>
    <w:p>
      <w:pPr>
        <w:spacing w:after="120" w:line="259" w:lineRule="auto"/>
        <w:jc w:val="both"/>
      </w:pPr>
      <w:r>
        <w:rPr>
          <w:rFonts w:ascii="Times New Roman" w:hAnsi="Times New Roman"/>
          <w:b w:val="0"/>
          <w:i w:val="0"/>
          <w:sz w:val="24"/>
          <w:rFonts w:ascii="Times New Roman" w:hAnsi="Times New Roman" w:cs="Times New Roman"/>
        </w:rPr>
        <w:t>(1) Der Verkäufer verkauft – soweit rechtlich zulässig – dem dies annehmenden Käufer zum Übernahmestichtag die in Anlage 1 „IP-Rights“ dargestellten immateriellen Vermögensgegenstände der Insolvenzschuldnerin (die „Kaufgegenstände“). Zu den Kaufgegenständen gehören insbesondere auch (soweit vorhanden) alle dazugehörigen Nebenrechte, Mitinhaberschaften, Gesamthandsberechtigungen und Anwartschaftsrechte und/oder Rückübertragungs- und Rückabtretungsansprüche.</w:t>
      </w:r>
    </w:p>
    <w:p>
      <w:pPr>
        <w:spacing w:after="120" w:line="259" w:lineRule="auto"/>
        <w:jc w:val="both"/>
      </w:pPr>
      <w:r>
        <w:rPr>
          <w:rFonts w:ascii="Times New Roman" w:hAnsi="Times New Roman"/>
          <w:b w:val="0"/>
          <w:i w:val="0"/>
          <w:sz w:val="24"/>
          <w:rFonts w:ascii="Times New Roman" w:hAnsi="Times New Roman" w:cs="Times New Roman"/>
        </w:rPr>
        <w:t>(2) Der Verkauf und die Übertragung der vorgenannten immateriellen Vermögensgegenstände erfolgt nur und insoweit, wie sie der alleinigen Verfügungsbefugnis des Verkäufers unterliegen und deren Übertragung nicht von der Zustimmung Dritter abhängt, es sei denn, diese Zustimmung wird von den Dritten erteilt.</w:t>
      </w:r>
    </w:p>
    <w:p>
      <w:pPr>
        <w:spacing w:after="120" w:line="259" w:lineRule="auto"/>
        <w:jc w:val="both"/>
      </w:pPr>
      <w:r>
        <w:rPr>
          <w:rFonts w:ascii="Times New Roman" w:hAnsi="Times New Roman"/>
          <w:b w:val="0"/>
          <w:i w:val="0"/>
          <w:sz w:val="24"/>
          <w:rFonts w:ascii="Times New Roman" w:hAnsi="Times New Roman" w:cs="Times New Roman"/>
        </w:rPr>
        <w:t>(3) Der Verkäufer wird dem Käufer sämtliche vorhandenen betrieblichen Unterlagen, Dokumente, Verträge und Geschäftskorrespondenz sowie technische Unterlagen, Pläne, Dokumentationen und Datenträger zur Verfügung stellen, soweit sie die Kaufgegenstände gemäß § 2 Abs. 1 betreffen und sich im Besitz des Verkäufers befinden. Ferner verpflichtet sich der Verkäufer, etwaige diesbezügliche Herausgabeansprüche gegenüber Dritten an den Käufer abzutreten.</w:t>
      </w:r>
    </w:p>
    <w:p>
      <w:pPr>
        <w:spacing w:after="120" w:line="259" w:lineRule="auto"/>
        <w:jc w:val="both"/>
      </w:pPr>
      <w:r>
        <w:rPr>
          <w:rFonts w:ascii="Times New Roman" w:hAnsi="Times New Roman"/>
          <w:b w:val="0"/>
          <w:i w:val="0"/>
          <w:sz w:val="24"/>
          <w:rFonts w:ascii="Times New Roman" w:hAnsi="Times New Roman" w:cs="Times New Roman"/>
        </w:rPr>
        <w:t>(4) Kundendaten / DSGVO: Die in Anlage 1c näher bezeichneten Kundendaten werden in zwei Klassen geführt:</w:t>
      </w:r>
    </w:p>
    <w:p>
      <w:pPr>
        <w:spacing w:after="120" w:line="259" w:lineRule="auto"/>
        <w:jc w:val="both"/>
      </w:pPr>
      <w:r>
        <w:rPr>
          <w:rFonts w:ascii="Times New Roman" w:hAnsi="Times New Roman"/>
          <w:b w:val="0"/>
          <w:i w:val="0"/>
          <w:sz w:val="24"/>
          <w:rFonts w:ascii="Times New Roman" w:hAnsi="Times New Roman" w:cs="Times New Roman"/>
        </w:rPr>
        <w:t xml:space="preserve">  • Anlage 1c.1 – B2B-Kundendaten (12 juristische Personen mit Ansprechpartner-Daten). Die Übertragung erfolgt auf Grundlage von Art. 6 Abs. 1 lit. f DSGVO; eine Information der Ansprechpartner nach Art. 14 DSGVO durch die Parteien ist vorab erfolgt (Anlage 1c.1.i – Informationsschreiben vom 18.06.2026).</w:t>
      </w:r>
    </w:p>
    <w:p>
      <w:pPr>
        <w:spacing w:after="120" w:line="259" w:lineRule="auto"/>
        <w:jc w:val="both"/>
      </w:pPr>
      <w:r>
        <w:rPr>
          <w:rFonts w:ascii="Times New Roman" w:hAnsi="Times New Roman"/>
          <w:b w:val="0"/>
          <w:i w:val="0"/>
          <w:sz w:val="24"/>
          <w:rFonts w:ascii="Times New Roman" w:hAnsi="Times New Roman" w:cs="Times New Roman"/>
        </w:rPr>
        <w:t xml:space="preserve">  • Anlage 1c.2 – B2C-Privatkundendaten (8 natürliche Personen). Die Übertragung erfolgt vorbehaltlich des Ablaufs einer 30-Kalendertagsfrist nach Zugang des Informationsschreibens vom 18.06.2026; bei Widerspruch eines Betroffenen wird der zugehörige Datensatz nicht übermittelt bzw. ist vom Käufer binnen 7 Werktagen unwiderruflich zu löschen. Der Verkäufer haftet nicht für die nachträgliche Datenlöschung beim Käufer.</w:t>
      </w:r>
    </w:p>
    <w:p>
      <w:pPr>
        <w:spacing w:after="120" w:line="259" w:lineRule="auto"/>
        <w:jc w:val="both"/>
      </w:pPr>
      <w:r>
        <w:rPr>
          <w:rFonts w:ascii="Times New Roman" w:hAnsi="Times New Roman"/>
          <w:b w:val="0"/>
          <w:i w:val="0"/>
          <w:sz w:val="24"/>
          <w:rFonts w:ascii="Times New Roman" w:hAnsi="Times New Roman" w:cs="Times New Roman"/>
        </w:rPr>
        <w:t>(5) Arbeitsverhältnisse / § 613a BGB: Die in Anlage 2 bezeichneten Arbeitsverhältnisse gehen kraft Gesetzes mit dem Übernahmestichtag auf den Käufer über. Der Käufer tritt in alle Rechte und Pflichten ein. Den Arbeitnehmern wurde mit Schreiben vom 02.06.2026 die Unterrichtung gemäß § 613a Abs. 5 BGB zugestellt; die individuellen Widerspruchsfristen nach § 613a Abs. 6 BGB laufen für jeden Arbeitnehmer separat. Der Verkäufer haftet nicht für nach dem Übernahmestichtag eintretende Schadensersatzpflichten aus Arbeitsverhältnissen, soweit sie auf Erwerber-Handeln zurückzuführen sind.</w:t>
      </w:r>
    </w:p>
    <w:p>
      <w:pPr>
        <w:spacing w:after="120" w:line="259" w:lineRule="auto"/>
        <w:jc w:val="both"/>
      </w:pPr>
      <w:r>
        <w:rPr>
          <w:rFonts w:ascii="Times New Roman" w:hAnsi="Times New Roman"/>
          <w:b w:val="0"/>
          <w:i w:val="0"/>
          <w:sz w:val="24"/>
          <w:rFonts w:ascii="Times New Roman" w:hAnsi="Times New Roman" w:cs="Times New Roman"/>
        </w:rPr>
        <w:t>(6) Der Verkäufer verpflichtet sich, betreffend der für die Übertragung der Kaufgegenstände gegebenenfalls notwendigen Übertragung etwaiger öffentlicher Rechte, Genehmigungen, Erlaubnisse und Gestattungen sowie für die Übertragung der Zertifizierungen sämtliche Erklärungen gegenüber Behörden oder Dritten abzugeben und Handlungen vorzunehmen, die erforderlich oder zweckmäßig sind, um den Übergang der öffentlichen Rechte, Genehmigungen, Erlaubnisse und/oder Gestattungen oder gegebenenfalls deren Neuerteilung zu erreichen. Dies umfasst insbesondere die DPMA-Umschreibung der in Anlage 1a aufgeführten Marken nach §§ 27 ff. MarkenG.</w:t>
      </w:r>
    </w:p>
    <w:p>
      <w:pPr>
        <w:spacing w:after="120" w:line="259" w:lineRule="auto"/>
        <w:jc w:val="both"/>
      </w:pPr>
      <w:r>
        <w:rPr>
          <w:rFonts w:ascii="Times New Roman" w:hAnsi="Times New Roman"/>
          <w:b w:val="0"/>
          <w:i w:val="0"/>
          <w:sz w:val="24"/>
          <w:rFonts w:ascii="Times New Roman" w:hAnsi="Times New Roman" w:cs="Times New Roman"/>
        </w:rPr>
        <w:t>(7) Standortzusage: Der Käufer beabsichtigt, den fortzuführenden Geschäftsbetrieb an einem Standort in Berlin zu betreiben, und sagt eine Standortbindung für einen Zeitraum von 24 Monaten nach dem Übernahmestichtag zu, soweit dies wirtschaftlich vertretbar bleibt. Eine vertragliche Sanktion knüpft daran nicht; die Zusage dient als Verlässlichkeitsmaßstab gegenüber der übergehenden Belegschaft und der öffentlichen Hand.</w:t>
      </w:r>
    </w:p>
    <w:p>
      <w:pPr>
        <w:spacing w:after="160" w:line="259" w:lineRule="auto"/>
        <w:jc w:val="both"/>
      </w:pPr>
      <w:r>
        <w:rPr>
          <w:rFonts w:ascii="Times New Roman" w:hAnsi="Times New Roman"/>
          <w:b/>
          <w:i w:val="0"/>
          <w:sz w:val="25"/>
          <w:rFonts w:ascii="Times New Roman" w:hAnsi="Times New Roman" w:cs="Times New Roman"/>
        </w:rPr>
        <w:t>§ 3   Kaufpreis</w:t>
      </w:r>
    </w:p>
    <w:p>
      <w:pPr>
        <w:spacing w:after="120" w:line="259" w:lineRule="auto"/>
        <w:jc w:val="both"/>
      </w:pPr>
      <w:r>
        <w:rPr>
          <w:rFonts w:ascii="Times New Roman" w:hAnsi="Times New Roman"/>
          <w:b w:val="0"/>
          <w:i w:val="0"/>
          <w:sz w:val="24"/>
          <w:rFonts w:ascii="Times New Roman" w:hAnsi="Times New Roman" w:cs="Times New Roman"/>
        </w:rPr>
        <w:t>(1) Der Käufer verpflichtet sich, für die nach § 2 verkauften Kaufgegenstände an den Verkäufer einen Kaufpreis von</w:t>
      </w:r>
    </w:p>
    <w:p>
      <w:pPr>
        <w:spacing w:after="120" w:line="259" w:lineRule="auto"/>
        <w:jc w:val="both"/>
      </w:pPr>
      <w:r>
        <w:rPr>
          <w:rFonts w:ascii="Times New Roman" w:hAnsi="Times New Roman"/>
          <w:b w:val="0"/>
          <w:i w:val="0"/>
          <w:sz w:val="24"/>
          <w:rFonts w:ascii="Times New Roman" w:hAnsi="Times New Roman" w:cs="Times New Roman"/>
        </w:rPr>
        <w:t>[400.000,00 EUR]</w:t>
      </w:r>
    </w:p>
    <w:p>
      <w:pPr>
        <w:spacing w:after="120" w:line="259" w:lineRule="auto"/>
        <w:jc w:val="both"/>
      </w:pPr>
      <w:r>
        <w:rPr>
          <w:rFonts w:ascii="Times New Roman" w:hAnsi="Times New Roman"/>
          <w:b w:val="0"/>
          <w:i w:val="0"/>
          <w:sz w:val="24"/>
          <w:rFonts w:ascii="Times New Roman" w:hAnsi="Times New Roman" w:cs="Times New Roman"/>
        </w:rPr>
        <w:t>(in Worten: vierhunderttausend Euro)</w:t>
      </w:r>
    </w:p>
    <w:p>
      <w:pPr>
        <w:spacing w:after="120" w:line="259" w:lineRule="auto"/>
        <w:jc w:val="both"/>
      </w:pPr>
      <w:r>
        <w:rPr>
          <w:rFonts w:ascii="Times New Roman" w:hAnsi="Times New Roman"/>
          <w:b w:val="0"/>
          <w:i w:val="0"/>
          <w:sz w:val="24"/>
          <w:rFonts w:ascii="Times New Roman" w:hAnsi="Times New Roman" w:cs="Times New Roman"/>
        </w:rPr>
        <w:t>zu zahlen (der „Kaufpreis“ genannt).</w:t>
      </w:r>
    </w:p>
    <w:p>
      <w:pPr>
        <w:spacing w:after="120" w:line="259" w:lineRule="auto"/>
        <w:jc w:val="both"/>
      </w:pPr>
      <w:r>
        <w:rPr>
          <w:rFonts w:ascii="Times New Roman" w:hAnsi="Times New Roman"/>
          <w:b w:val="0"/>
          <w:i w:val="0"/>
          <w:sz w:val="24"/>
          <w:rFonts w:ascii="Times New Roman" w:hAnsi="Times New Roman" w:cs="Times New Roman"/>
        </w:rPr>
        <w:t>(2) Die Parteien gehen davon aus, dass die Veräußerung und Übertragung der Kaufgegenstände eine Geschäftsveräußerung im Ganzen im Sinne von § 1 Abs. 1a UStG darstellt und daher nicht der Umsatzsteuer unterliegt. Sollten die vertragsgegenständlichen Umsätze entgegen der heutigen Einschätzung der Vertragsparteien wider Erwarten von den zuständigen Finanzbehörden nicht als Geschäftsveräußerung im Ganzen im Sinne des § 1 Abs. 1a UStG, sondern als umsatzsteuerpflichtige Umsätze angesehen werden, erhöhen sich die Zahlungen gemäß den vorstehenden Absätzen um die gesetzlich geschuldete Umsatzsteuer. Die in diesem Fall zu zahlende Umsatzsteuer ist spätestens am fünften Kalendertag nach Erhalt einer ordnungsgemäßen, den Anforderungen der §§ 14, 14a UStG genügenden und den Vorsteuerabzug begründenden Rechnung fällig und zahlbar.</w:t>
      </w:r>
    </w:p>
    <w:p>
      <w:pPr>
        <w:spacing w:after="120" w:line="259" w:lineRule="auto"/>
        <w:jc w:val="both"/>
      </w:pPr>
      <w:r>
        <w:rPr>
          <w:rFonts w:ascii="Times New Roman" w:hAnsi="Times New Roman"/>
          <w:b w:val="0"/>
          <w:i w:val="0"/>
          <w:sz w:val="24"/>
          <w:rFonts w:ascii="Times New Roman" w:hAnsi="Times New Roman" w:cs="Times New Roman"/>
        </w:rPr>
        <w:t>(3) Die Aufrechnung mit etwaigen Gegenansprüchen oder die Ausübung eines Zurückbehaltungsrechts wegen etwaiger Ansprüche des Käufers gegenüber den Kaufpreisansprüchen des Verkäufers gemäß vorstehenden Absätzen ist nur mit schriftlicher Zustimmung des Verkäufers gestattet, es sei denn der Gegenanspruch des Käufers ist zwischen den Parteien unstreitig oder rechtskräftig festgestellt.</w:t>
      </w:r>
    </w:p>
    <w:p>
      <w:pPr>
        <w:spacing w:after="160" w:line="259" w:lineRule="auto"/>
        <w:jc w:val="both"/>
      </w:pPr>
      <w:r>
        <w:rPr>
          <w:rFonts w:ascii="Times New Roman" w:hAnsi="Times New Roman"/>
          <w:b/>
          <w:i w:val="0"/>
          <w:sz w:val="25"/>
          <w:rFonts w:ascii="Times New Roman" w:hAnsi="Times New Roman" w:cs="Times New Roman"/>
        </w:rPr>
        <w:t>§ 4   Fälligkeit, Zahlung, Verzug</w:t>
      </w:r>
    </w:p>
    <w:p>
      <w:pPr>
        <w:spacing w:after="120" w:line="259" w:lineRule="auto"/>
        <w:jc w:val="both"/>
      </w:pPr>
      <w:r>
        <w:rPr>
          <w:rFonts w:ascii="Times New Roman" w:hAnsi="Times New Roman"/>
          <w:b w:val="0"/>
          <w:i w:val="0"/>
          <w:sz w:val="24"/>
          <w:rFonts w:ascii="Times New Roman" w:hAnsi="Times New Roman" w:cs="Times New Roman"/>
        </w:rPr>
        <w:t>(1) Der Kaufpreis gemäß § 3 Abs. 1 dieses Vertrages ist nach Unterzeichnung dieses Vertrages innerhalb von zwei Wochen an den Verkäufer auf folgendes Konto zu zahlen:</w:t>
      </w:r>
    </w:p>
    <w:p>
      <w:pPr>
        <w:spacing w:after="120" w:line="259" w:lineRule="auto"/>
        <w:jc w:val="both"/>
      </w:pPr>
      <w:r>
        <w:rPr>
          <w:rFonts w:ascii="Times New Roman" w:hAnsi="Times New Roman"/>
          <w:b w:val="0"/>
          <w:i w:val="0"/>
          <w:sz w:val="24"/>
          <w:rFonts w:ascii="Times New Roman" w:hAnsi="Times New Roman" w:cs="Times New Roman"/>
        </w:rPr>
        <w:t>Kontoinhaber: RA Dr. Konrad Vorberg, Insolvenzverwalter ChainCortex AI GmbH i. Ins. (Az. 36 IN 1342/26)</w:t>
      </w:r>
    </w:p>
    <w:p>
      <w:pPr>
        <w:spacing w:after="120" w:line="259" w:lineRule="auto"/>
        <w:jc w:val="both"/>
      </w:pPr>
      <w:r>
        <w:rPr>
          <w:rFonts w:ascii="Times New Roman" w:hAnsi="Times New Roman"/>
          <w:b w:val="0"/>
          <w:i w:val="0"/>
          <w:sz w:val="24"/>
          <w:rFonts w:ascii="Times New Roman" w:hAnsi="Times New Roman" w:cs="Times New Roman"/>
        </w:rPr>
        <w:t>Kreditinstitut: Berliner Sparkasse</w:t>
      </w:r>
    </w:p>
    <w:p>
      <w:pPr>
        <w:spacing w:after="120" w:line="259" w:lineRule="auto"/>
        <w:jc w:val="both"/>
      </w:pPr>
      <w:r>
        <w:rPr>
          <w:rFonts w:ascii="Times New Roman" w:hAnsi="Times New Roman"/>
          <w:b w:val="0"/>
          <w:i w:val="0"/>
          <w:sz w:val="24"/>
          <w:rFonts w:ascii="Times New Roman" w:hAnsi="Times New Roman" w:cs="Times New Roman"/>
        </w:rPr>
        <w:t>IBAN: DE12 1005 0000 0234 5678 90 / BIC: BELADEBEXXX</w:t>
      </w:r>
    </w:p>
    <w:p>
      <w:pPr>
        <w:spacing w:after="120" w:line="259" w:lineRule="auto"/>
        <w:jc w:val="both"/>
      </w:pPr>
      <w:r>
        <w:rPr>
          <w:rFonts w:ascii="Times New Roman" w:hAnsi="Times New Roman"/>
          <w:b w:val="0"/>
          <w:i w:val="0"/>
          <w:sz w:val="24"/>
          <w:rFonts w:ascii="Times New Roman" w:hAnsi="Times New Roman" w:cs="Times New Roman"/>
        </w:rPr>
        <w:t>Verwendungszweck: APA ChainCortex/Voracis Kaufpreis 36 IN 1342/26</w:t>
      </w:r>
    </w:p>
    <w:p>
      <w:pPr>
        <w:spacing w:after="120" w:line="259" w:lineRule="auto"/>
        <w:jc w:val="both"/>
      </w:pPr>
      <w:r>
        <w:rPr>
          <w:rFonts w:ascii="Times New Roman" w:hAnsi="Times New Roman"/>
          <w:b w:val="0"/>
          <w:i w:val="0"/>
          <w:sz w:val="24"/>
          <w:rFonts w:ascii="Times New Roman" w:hAnsi="Times New Roman" w:cs="Times New Roman"/>
        </w:rPr>
        <w:t>(2) Zahlt der Käufer den Kaufpreis nicht oder nicht vollständig innerhalb der in Abs. 1 genannten Fristen, hat er den jeweils nicht gezahlten Betrag, ohne dass es einer Mahnung bedarf, mit 9 Prozentpunkten über dem Basiszinssatz jährlich zu verzinsen (vgl. § 288 Abs. 2 BGB).</w:t>
      </w:r>
    </w:p>
    <w:p>
      <w:pPr>
        <w:spacing w:after="120" w:line="259" w:lineRule="auto"/>
        <w:jc w:val="both"/>
      </w:pPr>
      <w:r>
        <w:rPr>
          <w:rFonts w:ascii="Times New Roman" w:hAnsi="Times New Roman"/>
          <w:b w:val="0"/>
          <w:i w:val="0"/>
          <w:sz w:val="24"/>
          <w:rFonts w:ascii="Times New Roman" w:hAnsi="Times New Roman" w:cs="Times New Roman"/>
        </w:rPr>
        <w:t>(3) Zusätzlich ist der Verkäufer gemäß § 6 dieses Vertrages berechtigt, vom Vertrag zurückzutreten. Durch den Rücktritt ist das Recht des Verkäufers, Schadensersatz zu verlangen, nicht ausgeschlossen. Im Falle des Rücktritts sind weder wertsteigernde noch notwendige Aufwendungen des Käufers zu ersetzen. Für den Fall der Ausübung des Rücktrittsrechtes durch den Verkäufer wegen Verzugs trägt der Käufer sämtliche mit diesem Vertrag und seiner Durchführung verbundenen Kosten der Parteien einschließlich der entsprechenden Kosten seiner Rückabwicklung. Im Übrigen gelten die gesetzlichen Rücktrittsbestimmungen.</w:t>
      </w:r>
    </w:p>
    <w:p>
      <w:pPr>
        <w:spacing w:after="120" w:line="259" w:lineRule="auto"/>
        <w:jc w:val="both"/>
      </w:pPr>
      <w:r>
        <w:rPr>
          <w:rFonts w:ascii="Times New Roman" w:hAnsi="Times New Roman"/>
          <w:b w:val="0"/>
          <w:i w:val="0"/>
          <w:sz w:val="24"/>
          <w:rFonts w:ascii="Times New Roman" w:hAnsi="Times New Roman" w:cs="Times New Roman"/>
        </w:rPr>
        <w:t>(4) eIDAS-Signatur: Die Parteien können diesen Vertrag und ergänzende Erklärungen mit qualifizierter elektronischer Signatur (QES) nach Verordnung (EU) Nr. 910/2014 in der Fassung der Verordnung (EU) 2024/1183 (eIDAS 2.0) ausführen. Eine zusätzliche papiergebundene Schriftform ist hierfür nicht erforderlich; die Beweiswirkung richtet sich nach § 371a ZPO.</w:t>
      </w:r>
    </w:p>
    <w:p>
      <w:pPr>
        <w:spacing w:after="160" w:line="259" w:lineRule="auto"/>
        <w:jc w:val="both"/>
      </w:pPr>
      <w:r>
        <w:rPr>
          <w:rFonts w:ascii="Times New Roman" w:hAnsi="Times New Roman"/>
          <w:b/>
          <w:i w:val="0"/>
          <w:sz w:val="25"/>
          <w:rFonts w:ascii="Times New Roman" w:hAnsi="Times New Roman" w:cs="Times New Roman"/>
        </w:rPr>
        <w:t>§ 5   Übertragung der verkauften Vermögensgegenstände und Gefahrübergang</w:t>
      </w:r>
    </w:p>
    <w:p>
      <w:pPr>
        <w:spacing w:after="120" w:line="259" w:lineRule="auto"/>
        <w:jc w:val="both"/>
      </w:pPr>
      <w:r>
        <w:rPr>
          <w:rFonts w:ascii="Times New Roman" w:hAnsi="Times New Roman"/>
          <w:b w:val="0"/>
          <w:i w:val="0"/>
          <w:sz w:val="24"/>
          <w:rFonts w:ascii="Times New Roman" w:hAnsi="Times New Roman" w:cs="Times New Roman"/>
        </w:rPr>
        <w:t>(1) Die Parteien sind sich darüber einig, dass das Eigentum oder das Anwartschaftsrecht bzw. die Inhaberschaft an den gemäß § 2 verkauften Kaufgegenständen mit Wirkung zum Übernahmestichtag von dem Verkäufer auf den Käufer aufschiebend bedingt durch die Zahlung des Kaufpreises übergehen bzw. vom Verkäufer an den Käufer abgetreten werden. Der Käufer nimmt die vorbezeichneten Abtretungen hiermit bereits an.</w:t>
      </w:r>
    </w:p>
    <w:p>
      <w:pPr>
        <w:spacing w:after="120" w:line="259" w:lineRule="auto"/>
        <w:jc w:val="both"/>
      </w:pPr>
      <w:r>
        <w:rPr>
          <w:rFonts w:ascii="Times New Roman" w:hAnsi="Times New Roman"/>
          <w:b w:val="0"/>
          <w:i w:val="0"/>
          <w:sz w:val="24"/>
          <w:rFonts w:ascii="Times New Roman" w:hAnsi="Times New Roman" w:cs="Times New Roman"/>
        </w:rPr>
        <w:t>(2) Soweit sich verkaufte Kaufgegenstände nicht im Besitz des Verkäufers oder der Insolvenzschuldnerin befinden, tritt der Verkäufer die entsprechenden Herausgabeansprüche gegen die jeweiligen Dritten an den Käufer mit Wirkung zum Übernahmestichtag ab, ebenfalls aufschiebend bedingt durch die Zahlung des Kaufpreises.</w:t>
      </w:r>
    </w:p>
    <w:p>
      <w:pPr>
        <w:spacing w:after="120" w:line="259" w:lineRule="auto"/>
        <w:jc w:val="both"/>
      </w:pPr>
      <w:r>
        <w:rPr>
          <w:rFonts w:ascii="Times New Roman" w:hAnsi="Times New Roman"/>
          <w:b w:val="0"/>
          <w:i w:val="0"/>
          <w:sz w:val="24"/>
          <w:rFonts w:ascii="Times New Roman" w:hAnsi="Times New Roman" w:cs="Times New Roman"/>
        </w:rPr>
        <w:t>(3) Die Parteien sind sich ferner einig, dass Nutzen und Lasten der verkauften Kaufgegenstände am Übernahmestichtag und nach Zahlung des Kaufpreises auf den Käufer übergehen. Gleiches gilt für die Gefahr des zufälligen Untergangs und der zufälligen Verschlechterung sowie die Haftung für den Vertragsgegenstand, insbesondere die Verkehrssicherungspflicht.</w:t>
      </w:r>
    </w:p>
    <w:p>
      <w:pPr>
        <w:spacing w:after="120" w:line="259" w:lineRule="auto"/>
        <w:jc w:val="both"/>
      </w:pPr>
      <w:r>
        <w:rPr>
          <w:rFonts w:ascii="Times New Roman" w:hAnsi="Times New Roman"/>
          <w:b w:val="0"/>
          <w:i w:val="0"/>
          <w:sz w:val="24"/>
          <w:rFonts w:ascii="Times New Roman" w:hAnsi="Times New Roman" w:cs="Times New Roman"/>
        </w:rPr>
        <w:t>(4) Der Verkäufer hält die Kaufgegenstände bis zum Zeitpunkt der Zahlung des Kaufpreises in der bisherigen, dem Käufer bekannten Weise versichert. Der Verkäufer übernimmt jedoch keine Gewähr, dass der Wert durch die bestehenden Versicherungen voll gedeckt ist. Das Haftpflichtrisiko hat der Käufer in jedem Fall ab Übernahmestichtag selbst zu decken und dies dem Verkäufer auf Verlangen nachzuweisen.</w:t>
      </w:r>
    </w:p>
    <w:p>
      <w:pPr>
        <w:spacing w:after="120" w:line="259" w:lineRule="auto"/>
        <w:jc w:val="both"/>
      </w:pPr>
      <w:r>
        <w:rPr>
          <w:rFonts w:ascii="Times New Roman" w:hAnsi="Times New Roman"/>
          <w:b w:val="0"/>
          <w:i w:val="0"/>
          <w:sz w:val="24"/>
          <w:rFonts w:ascii="Times New Roman" w:hAnsi="Times New Roman" w:cs="Times New Roman"/>
        </w:rPr>
        <w:t>(5) Spezifika immaterieller Vermögensgegenstände: Die Übertragung der Marken erfolgt durch zusätzliche Umschreibungserklärung an das DPMA nach §§ 27 ff. MarkenG; der Verkäufer wird die Umschreibungsanträge unverzüglich nach Zahlung des Kaufpreises stellen und die Umschreibungskosten dem Käufer rechnen. Die Übertragung der Software-Repositories erfolgt durch Transfer der Owner-Rolle in den GitHub-Organisations-Accounts (chaincortex → voracis-ventures) sowie Übergabe der vollständigen Backups (Datenträger-Übergabe).</w:t>
      </w:r>
    </w:p>
    <w:p>
      <w:pPr>
        <w:spacing w:after="160" w:line="259" w:lineRule="auto"/>
        <w:jc w:val="both"/>
      </w:pPr>
      <w:r>
        <w:rPr>
          <w:rFonts w:ascii="Times New Roman" w:hAnsi="Times New Roman"/>
          <w:b/>
          <w:i w:val="0"/>
          <w:sz w:val="25"/>
          <w:rFonts w:ascii="Times New Roman" w:hAnsi="Times New Roman" w:cs="Times New Roman"/>
        </w:rPr>
        <w:t>§ 6   Rücktritt</w:t>
      </w:r>
    </w:p>
    <w:p>
      <w:pPr>
        <w:spacing w:after="120" w:line="259" w:lineRule="auto"/>
        <w:jc w:val="both"/>
      </w:pPr>
      <w:r>
        <w:rPr>
          <w:rFonts w:ascii="Times New Roman" w:hAnsi="Times New Roman"/>
          <w:b w:val="0"/>
          <w:i w:val="0"/>
          <w:sz w:val="24"/>
          <w:rFonts w:ascii="Times New Roman" w:hAnsi="Times New Roman" w:cs="Times New Roman"/>
        </w:rPr>
        <w:t>(1) Der Verkäufer ist zum Rücktritt berechtigt, sofern der Gläubigerausschuss dem Abschluss dieses Vertrages nicht gemäß §§ 160, 162 InsO zustimmt bzw. die Zustimmung nicht als erteilt gilt.</w:t>
      </w:r>
    </w:p>
    <w:p>
      <w:pPr>
        <w:spacing w:after="120" w:line="259" w:lineRule="auto"/>
        <w:jc w:val="both"/>
      </w:pPr>
      <w:r>
        <w:rPr>
          <w:rFonts w:ascii="Times New Roman" w:hAnsi="Times New Roman"/>
          <w:b w:val="0"/>
          <w:i w:val="0"/>
          <w:sz w:val="24"/>
          <w:rFonts w:ascii="Times New Roman" w:hAnsi="Times New Roman" w:cs="Times New Roman"/>
        </w:rPr>
        <w:t>(2) Der Verkäufer ist ferner zum Rücktritt von diesem Vertrag berechtigt, wenn der Käufer mit der Zahlung des Kaufpreises länger als zwei Wochen in Verzug gerät.</w:t>
      </w:r>
    </w:p>
    <w:p>
      <w:pPr>
        <w:spacing w:after="120" w:line="259" w:lineRule="auto"/>
        <w:jc w:val="both"/>
      </w:pPr>
      <w:r>
        <w:rPr>
          <w:rFonts w:ascii="Times New Roman" w:hAnsi="Times New Roman"/>
          <w:b w:val="0"/>
          <w:i w:val="0"/>
          <w:sz w:val="24"/>
          <w:rFonts w:ascii="Times New Roman" w:hAnsi="Times New Roman" w:cs="Times New Roman"/>
        </w:rPr>
        <w:t>(3) Das Rücktrittsrecht ist innerhalb von zwei Wochen nach Eintritt des zur Ausübung berechtigenden Umstandes, und zwar durch schriftliche Anzeige innerhalb der Frist bei dem Käufer eingehend, auszuüben. Sofern der Rücktritt fristgemäß vorab per Telefax oder E-Mail ausgeübt wird, ist dies ausreichend, wenn das Originalschreiben spätestens fünf Arbeitstage nach Ablauf der Rücktrittsfrist bei dem Käufer eingeht.</w:t>
      </w:r>
    </w:p>
    <w:p>
      <w:pPr>
        <w:spacing w:after="120" w:line="259" w:lineRule="auto"/>
        <w:jc w:val="both"/>
      </w:pPr>
      <w:r>
        <w:rPr>
          <w:rFonts w:ascii="Times New Roman" w:hAnsi="Times New Roman"/>
          <w:b w:val="0"/>
          <w:i w:val="0"/>
          <w:sz w:val="24"/>
          <w:rFonts w:ascii="Times New Roman" w:hAnsi="Times New Roman" w:cs="Times New Roman"/>
        </w:rPr>
        <w:t>(4) Im Falle des Rücktritts gemäß § 6 Abs. 2 ist durch den Rücktritt das Recht des Verkäufers, Schadensersatz zu verlangen, nicht ausgeschlossen, und es sind weder wertsteigernde noch notwendige Aufwendungen des Käufers zu ersetzen. Im Falle des Rücktritts gemäß § 6 Abs. 2 trägt der Käufer sämtliche mit diesem Vertrag und seiner Durchführung verbundenen Kosten der Parteien einschließlich der entsprechenden Kosten seiner Rückabwicklung. Im Übrigen gelten die gesetzlichen Rücktrittsbestimmungen.</w:t>
      </w:r>
    </w:p>
    <w:p>
      <w:pPr>
        <w:spacing w:after="120" w:line="259" w:lineRule="auto"/>
        <w:jc w:val="both"/>
      </w:pPr>
      <w:r>
        <w:rPr>
          <w:rFonts w:ascii="Times New Roman" w:hAnsi="Times New Roman"/>
          <w:b w:val="0"/>
          <w:i w:val="0"/>
          <w:sz w:val="24"/>
          <w:rFonts w:ascii="Times New Roman" w:hAnsi="Times New Roman" w:cs="Times New Roman"/>
        </w:rPr>
        <w:t>(5) Vollzugsvoraussetzungen (Conditions Precedent): Die Übertragung der Kaufgegenstände nach § 5 setzt voraus, dass (i) der Gläubigerausschuss-Beschluss nach § 160 II Nr. 1 InsO vorliegt, (ii) der Kaufpreis vollständig auf dem Treuhandkonto des Verkäufers eingegangen ist und (iii) der Käufer den wirksamen Bestand eines auf den fortzuführenden Geschäftsbetrieb bezogenen Cyber- und Vermögensschadens-Haftpflichtschutzes ab dem Übernahmestichtag nachgewiesen hat. Sind diese Voraussetzungen am 01.07.2026 noch nicht alle erfüllt, verschiebt sich der Übernahmestichtag automatisch auf den nächstfolgenden Werktag, an dem die letzte Voraussetzung eingetreten ist; nach Ablauf von 14 Kalendertagen ohne Vollzug greift Absatz 2 (Rücktrittsrecht des Verkäufers).</w:t>
      </w:r>
    </w:p>
    <w:p>
      <w:pPr>
        <w:spacing w:after="160" w:line="259" w:lineRule="auto"/>
        <w:jc w:val="both"/>
      </w:pPr>
      <w:r>
        <w:rPr>
          <w:rFonts w:ascii="Times New Roman" w:hAnsi="Times New Roman"/>
          <w:b/>
          <w:i w:val="0"/>
          <w:sz w:val="25"/>
          <w:rFonts w:ascii="Times New Roman" w:hAnsi="Times New Roman" w:cs="Times New Roman"/>
        </w:rPr>
        <w:t>§ 7   Haftungsausschlüsse und Klarstellung</w:t>
      </w:r>
    </w:p>
    <w:p>
      <w:pPr>
        <w:spacing w:after="120" w:line="259" w:lineRule="auto"/>
        <w:jc w:val="both"/>
      </w:pPr>
      <w:r>
        <w:rPr>
          <w:rFonts w:ascii="Times New Roman" w:hAnsi="Times New Roman"/>
          <w:b w:val="0"/>
          <w:i w:val="0"/>
          <w:sz w:val="24"/>
          <w:rFonts w:ascii="Times New Roman" w:hAnsi="Times New Roman" w:cs="Times New Roman"/>
        </w:rPr>
        <w:t>(1) Dem Käufer ist bekannt, dass er die Kaufgegenstände aus der Insolvenzmasse eines insolventen Unternehmens erwirbt und der Verkäufer als Insolvenzverwalter der Insolvenzschuldnerin die zu übertragenden Kaufgegenstände nicht auf ihren Bestand, insbesondere (ohne jedoch hierauf beschränkt zu sein), ihrem rechtlichen Status, Freiheit von entgegenstehenden Rechten Dritter sowie ihre Funktions- und Verwendungsfähigkeit hin geprüft hat. Zur Klarstellung: Der Verkäufer bestätigt, dass er nach Rücksprache mit den Geschäftsführern der Insolvenzschuldnerin keine positive Kenntnis entgegenstehender Rechte Dritter an den Kaufgegenständen hat, mit der Maßgabe, dass dem Verkäufer die positive Kenntnis von anderen Dritten nicht zuzurechnen ist und die Möglichkeit besteht, dass sich im eröffneten Insolvenzverfahren über das Vermögen der Insolvenzschuldnerin noch weitere Drittrechte entstehen, ergeben oder sich herausstellen könnten.</w:t>
      </w:r>
    </w:p>
    <w:p>
      <w:pPr>
        <w:spacing w:after="120" w:line="259" w:lineRule="auto"/>
        <w:jc w:val="both"/>
      </w:pPr>
      <w:r>
        <w:rPr>
          <w:rFonts w:ascii="Times New Roman" w:hAnsi="Times New Roman"/>
          <w:b w:val="0"/>
          <w:i w:val="0"/>
          <w:sz w:val="24"/>
          <w:rFonts w:ascii="Times New Roman" w:hAnsi="Times New Roman" w:cs="Times New Roman"/>
        </w:rPr>
        <w:t>(2) Der Käufer hat die gesamten Kaufgegenstände genau besichtigt und konnte sich auch sonst über die Kaufgegenstände hinreichend informieren. Er hatte insbesondere ausreichend Gelegenheit, in sämtliche den Geschäftsbetrieb betreffende Unterlagen Einblick zu nehmen und sich über das Unternehmen der Insolvenzschuldnerin umfassend zu informieren. Ihm standen zu Kalkulationszwecken auch alle erforderlichen Geschäftsunterlagen zur Verfügung. Der Käufer kauft die Kaufgegenstände im gegenwärtigen, gebrauchten Zustand („as is, where is“).</w:t>
      </w:r>
    </w:p>
    <w:p>
      <w:pPr>
        <w:spacing w:after="120" w:line="259" w:lineRule="auto"/>
        <w:jc w:val="both"/>
      </w:pPr>
      <w:r>
        <w:rPr>
          <w:rFonts w:ascii="Times New Roman" w:hAnsi="Times New Roman"/>
          <w:b w:val="0"/>
          <w:i w:val="0"/>
          <w:sz w:val="24"/>
          <w:rFonts w:ascii="Times New Roman" w:hAnsi="Times New Roman" w:cs="Times New Roman"/>
        </w:rPr>
        <w:t>(3) Die Rechte des Käufers wegen Sach- und/oder Rechtsmängeln aller Art an den Kaufgegenständen, insbesondere Zustand und Beschaffenheit, Größe, Funktion, Güte und Verwendbarkeit sowie Ertrag werden ausgeschlossen; dies gilt nach dem Willen der Parteien auch für die Zeit ab dem Übernahmestichtag. Der Verkäufer übernimmt keine Garantien. Der Verkäufer steht nicht dafür ein, dass Dritte der Überleitung von Kaufgegenständen auf den Käufer zustimmen. Für den Fall, dass keine Überleitung erfolgt, ist die Minderung des Kaufpreises ausgeschlossen.</w:t>
      </w:r>
    </w:p>
    <w:p>
      <w:pPr>
        <w:spacing w:after="120" w:line="259" w:lineRule="auto"/>
        <w:jc w:val="both"/>
      </w:pPr>
      <w:r>
        <w:rPr>
          <w:rFonts w:ascii="Times New Roman" w:hAnsi="Times New Roman"/>
          <w:b w:val="0"/>
          <w:i w:val="0"/>
          <w:sz w:val="24"/>
          <w:rFonts w:ascii="Times New Roman" w:hAnsi="Times New Roman" w:cs="Times New Roman"/>
        </w:rPr>
        <w:t>(4) Der Käufer anerkennt und billigt das Interesse der Gläubigergemeinschaft im Insolvenzverfahren, den Verkaufserlös aus diesem Vertrag unbelastet der Verteilung zuführen zu können. Der hier vereinbarte umfängliche Haftungsausschluss war Gegenstand der Vertragsverhandlungen und wurde in der Preisfindung abschließend berücksichtigt.</w:t>
      </w:r>
    </w:p>
    <w:p>
      <w:pPr>
        <w:spacing w:after="120" w:line="259" w:lineRule="auto"/>
        <w:jc w:val="both"/>
      </w:pPr>
      <w:r>
        <w:rPr>
          <w:rFonts w:ascii="Times New Roman" w:hAnsi="Times New Roman"/>
          <w:b w:val="0"/>
          <w:i w:val="0"/>
          <w:sz w:val="24"/>
          <w:rFonts w:ascii="Times New Roman" w:hAnsi="Times New Roman" w:cs="Times New Roman"/>
        </w:rPr>
        <w:t>(5) Dem Käufer ist bekannt, dass er, soweit in diesem Vertrag nicht ein solches Recht vorbehalten ist, wegen des vereinbarten Haftungsausschlusses – abweichend von der gesetzlichen Regelung – keine Nacherfüllungs-, Minderungs-, Rücktritts- oder Schadensersatzansprüche hat, wenn der Vertragsgegenstand Mängel aufweist.</w:t>
      </w:r>
    </w:p>
    <w:p>
      <w:pPr>
        <w:spacing w:after="120" w:line="259" w:lineRule="auto"/>
        <w:jc w:val="both"/>
      </w:pPr>
      <w:r>
        <w:rPr>
          <w:rFonts w:ascii="Times New Roman" w:hAnsi="Times New Roman"/>
          <w:b w:val="0"/>
          <w:i w:val="0"/>
          <w:sz w:val="24"/>
          <w:rFonts w:ascii="Times New Roman" w:hAnsi="Times New Roman" w:cs="Times New Roman"/>
        </w:rPr>
        <w:t>(6) Von allen Haftungsbeschränkungen nach diesem Vertrag ausgenommen ist die Haftung für Vorsatz oder Arglist. Der Haftungsausschluss erfasst nicht die Haftung für Schäden aus der Verletzung des Lebens, des Körpers oder der Gesundheit, die auf einer grob fahrlässigen Pflichtverletzung des Verkäufers oder seiner Erfüllungsgehilfen beruht.</w:t>
      </w:r>
    </w:p>
    <w:p>
      <w:pPr>
        <w:spacing w:after="120" w:line="259" w:lineRule="auto"/>
        <w:jc w:val="both"/>
      </w:pPr>
      <w:r>
        <w:rPr>
          <w:rFonts w:ascii="Times New Roman" w:hAnsi="Times New Roman"/>
          <w:b w:val="0"/>
          <w:i w:val="0"/>
          <w:sz w:val="24"/>
          <w:rFonts w:ascii="Times New Roman" w:hAnsi="Times New Roman" w:cs="Times New Roman"/>
        </w:rPr>
        <w:t>(7) Jede persönliche Haftung des Insolvenzverwalters aus oder im Zusammenhang mit Ansprüchen aus diesem Vertrag, den in diesem Vertrag beschriebenen Transaktionen oder Vereinbarungen in Ausführung dieses Vertrages ist, mit Ausnahme der Haftung für vorsätzliche oder grob fahrlässige Verstöße gegen insolvenzspezifische Verpflichtungen, ausdrücklich ausgeschlossen. Dies gilt insbesondere für Ansprüche gemäß § 60 InsO.</w:t>
      </w:r>
    </w:p>
    <w:p>
      <w:pPr>
        <w:spacing w:after="120" w:line="259" w:lineRule="auto"/>
        <w:jc w:val="both"/>
      </w:pPr>
      <w:r>
        <w:rPr>
          <w:rFonts w:ascii="Times New Roman" w:hAnsi="Times New Roman"/>
          <w:b w:val="0"/>
          <w:i w:val="0"/>
          <w:sz w:val="24"/>
          <w:rFonts w:ascii="Times New Roman" w:hAnsi="Times New Roman" w:cs="Times New Roman"/>
        </w:rPr>
        <w:t>(8) Klarstellung zu § 25 HGB: Der Käufer führt die Firma der Insolvenzschuldnerin nicht fort; § 25 Abs. 1 HGB ist daher nicht einschlägig. Vorsorglich wird ein Haftungsausschluss nach § 25 Abs. 2 HGB vereinbart und vom Verwalter zur Eintragung in das Handelsregister angemeldet.</w:t>
      </w:r>
    </w:p>
    <w:p>
      <w:pPr>
        <w:spacing w:after="120" w:line="259" w:lineRule="auto"/>
        <w:jc w:val="both"/>
      </w:pPr>
      <w:r>
        <w:rPr>
          <w:rFonts w:ascii="Times New Roman" w:hAnsi="Times New Roman"/>
          <w:b w:val="0"/>
          <w:i w:val="0"/>
          <w:sz w:val="24"/>
          <w:rFonts w:ascii="Times New Roman" w:hAnsi="Times New Roman" w:cs="Times New Roman"/>
        </w:rPr>
        <w:t>(9) Lieferkettensorgfaltspflichtengesetz (LkSG): Der Käufer unterliegt dem LkSG aufgrund seiner Mitarbeiterzahl von unter 1.000 nicht. Eine Übernahme oder Anrechnung etwaiger LkSG-Pflichten der Insolvenzschuldnerin findet nicht statt; entsprechende Risiken sind im Preis abschließend berücksichtigt.</w:t>
      </w:r>
    </w:p>
    <w:p>
      <w:pPr>
        <w:spacing w:after="120" w:line="259" w:lineRule="auto"/>
        <w:jc w:val="both"/>
      </w:pPr>
      <w:r>
        <w:rPr>
          <w:rFonts w:ascii="Times New Roman" w:hAnsi="Times New Roman"/>
          <w:b w:val="0"/>
          <w:i w:val="0"/>
          <w:sz w:val="24"/>
          <w:rFonts w:ascii="Times New Roman" w:hAnsi="Times New Roman" w:cs="Times New Roman"/>
        </w:rPr>
        <w:t>(10) Verwerterpflichten: Den Parteien ist bekannt, dass der Verkäufer als Insolvenzverwalter die in BGH IX ZR 80/15 (Urt. v. 16.03.2017) sowie BGH IX ZR 169/04 (Urt. v. 13.04.2006) niedergelegten Pflichten zur bestmöglichen Erlöserzielung zu beachten hat. Der vereinbarte Kaufpreis berücksichtigt nach Würdigung der dokumentierten Bietergleichbehandlung das höchstmögliche Verwertungsergebnis im Sinne von § 159 InsO.</w:t>
      </w:r>
    </w:p>
    <w:p>
      <w:pPr>
        <w:spacing w:after="160" w:line="259" w:lineRule="auto"/>
        <w:jc w:val="both"/>
      </w:pPr>
      <w:r>
        <w:rPr>
          <w:rFonts w:ascii="Times New Roman" w:hAnsi="Times New Roman"/>
          <w:b/>
          <w:i w:val="0"/>
          <w:sz w:val="25"/>
          <w:rFonts w:ascii="Times New Roman" w:hAnsi="Times New Roman" w:cs="Times New Roman"/>
        </w:rPr>
        <w:t>§ 8   Wechselseitige Unterstützung</w:t>
      </w:r>
    </w:p>
    <w:p>
      <w:pPr>
        <w:spacing w:after="120" w:line="259" w:lineRule="auto"/>
        <w:jc w:val="both"/>
      </w:pPr>
      <w:r>
        <w:rPr>
          <w:rFonts w:ascii="Times New Roman" w:hAnsi="Times New Roman"/>
          <w:b w:val="0"/>
          <w:i w:val="0"/>
          <w:sz w:val="24"/>
          <w:rFonts w:ascii="Times New Roman" w:hAnsi="Times New Roman" w:cs="Times New Roman"/>
        </w:rPr>
        <w:t>(1) Die Parteien verpflichten sich, auf ihre wechselseitigen Interessen Rücksicht zu nehmen und sich bei der Abwicklung des Vertrages im Rahmen des Zumutbaren wechselseitig zu unterstützen.</w:t>
      </w:r>
    </w:p>
    <w:p>
      <w:pPr>
        <w:spacing w:after="120" w:line="259" w:lineRule="auto"/>
        <w:jc w:val="both"/>
      </w:pPr>
      <w:r>
        <w:rPr>
          <w:rFonts w:ascii="Times New Roman" w:hAnsi="Times New Roman"/>
          <w:b w:val="0"/>
          <w:i w:val="0"/>
          <w:sz w:val="24"/>
          <w:rFonts w:ascii="Times New Roman" w:hAnsi="Times New Roman" w:cs="Times New Roman"/>
        </w:rPr>
        <w:t>(2) Insbesondere verpflichten sich die Parteien, alle (weiteren) Erklärungen und/oder Handlungen vorzunehmen, die geeignet oder erforderlich sind, um die in diesem Vertrag festgelegten rechtlichen und wirtschaftlichen Wirkungen zu erzielen, insbesondere die Übertragungen der Kaufgegenstände herbeizuführen.</w:t>
      </w:r>
    </w:p>
    <w:p>
      <w:pPr>
        <w:spacing w:after="120" w:line="259" w:lineRule="auto"/>
        <w:jc w:val="both"/>
      </w:pPr>
      <w:r>
        <w:rPr>
          <w:rFonts w:ascii="Times New Roman" w:hAnsi="Times New Roman"/>
          <w:b w:val="0"/>
          <w:i w:val="0"/>
          <w:sz w:val="24"/>
          <w:rFonts w:ascii="Times New Roman" w:hAnsi="Times New Roman" w:cs="Times New Roman"/>
        </w:rPr>
        <w:t>(3) Der Verkäufer wird den Käufer in einer Übergangsphase von 30 Kalendertagen nach dem Übernahmestichtag bei Bedarf bei der technischen Übernahme der Software-Repositories und Cloud-Konten unterstützen, soweit ihm das ohne unverhältnismäßigen Aufwand möglich ist. Die Mitwirkung des Verkäufers ist auf 16 Personenstunden begrenzt; darüber hinausgehender Aufwand wird zu Stundensätzen Verwalterkanzlei (350 EUR/Stunde, exklusive USt) gesondert berechnet.</w:t>
      </w:r>
    </w:p>
    <w:p>
      <w:pPr>
        <w:spacing w:after="160" w:line="259" w:lineRule="auto"/>
        <w:jc w:val="both"/>
      </w:pPr>
      <w:r>
        <w:rPr>
          <w:rFonts w:ascii="Times New Roman" w:hAnsi="Times New Roman"/>
          <w:b/>
          <w:i w:val="0"/>
          <w:sz w:val="25"/>
          <w:rFonts w:ascii="Times New Roman" w:hAnsi="Times New Roman" w:cs="Times New Roman"/>
        </w:rPr>
        <w:t>§ 9   Kosten</w:t>
      </w:r>
    </w:p>
    <w:p>
      <w:pPr>
        <w:spacing w:after="120" w:line="259" w:lineRule="auto"/>
        <w:jc w:val="both"/>
      </w:pPr>
      <w:r>
        <w:rPr>
          <w:rFonts w:ascii="Times New Roman" w:hAnsi="Times New Roman"/>
          <w:b w:val="0"/>
          <w:i w:val="0"/>
          <w:sz w:val="24"/>
          <w:rFonts w:ascii="Times New Roman" w:hAnsi="Times New Roman" w:cs="Times New Roman"/>
        </w:rPr>
        <w:t>Die Kosten dieses Vertrages und seiner Durchführung sowie alle sich aus diesem Rechtsgeschäft ergebenden Kosten – einschließlich der DPMA-Umschreibungskosten, etwaiger Notarkosten für Beglaubigungen und der HR-Bekanntmachung gemäß § 25 Abs. 2 HGB – trägt der Käufer. Davon ausgenommen sind die persönlichen Beratungskosten des Verkäufers, die der Insolvenzmasse als Verwalterkosten zugerechnet werden.</w:t>
      </w:r>
    </w:p>
    <w:p>
      <w:pPr>
        <w:spacing w:after="160" w:line="259" w:lineRule="auto"/>
        <w:jc w:val="both"/>
      </w:pPr>
      <w:r>
        <w:rPr>
          <w:rFonts w:ascii="Times New Roman" w:hAnsi="Times New Roman"/>
          <w:b/>
          <w:i w:val="0"/>
          <w:sz w:val="25"/>
          <w:rFonts w:ascii="Times New Roman" w:hAnsi="Times New Roman" w:cs="Times New Roman"/>
        </w:rPr>
        <w:t>§ 10   Mitteilungen</w:t>
      </w:r>
    </w:p>
    <w:p>
      <w:pPr>
        <w:spacing w:after="120" w:line="259" w:lineRule="auto"/>
        <w:jc w:val="both"/>
      </w:pPr>
      <w:r>
        <w:rPr>
          <w:rFonts w:ascii="Times New Roman" w:hAnsi="Times New Roman"/>
          <w:b w:val="0"/>
          <w:i w:val="0"/>
          <w:sz w:val="24"/>
          <w:rFonts w:ascii="Times New Roman" w:hAnsi="Times New Roman" w:cs="Times New Roman"/>
        </w:rPr>
        <w:t>(1) Jede Anzeige oder Mitteilung im Zusammenhang mit diesem Vertrag hat schriftlich (auch Fax) oder in Textform (E-Mail) zu erfolgen, soweit in diesem Vertrag keine andere Form ausdrücklich vorgesehen ist.</w:t>
      </w:r>
    </w:p>
    <w:p>
      <w:pPr>
        <w:spacing w:after="120" w:line="259" w:lineRule="auto"/>
        <w:jc w:val="both"/>
      </w:pPr>
      <w:r>
        <w:rPr>
          <w:rFonts w:ascii="Times New Roman" w:hAnsi="Times New Roman"/>
          <w:b w:val="0"/>
          <w:i w:val="0"/>
          <w:sz w:val="24"/>
          <w:rFonts w:ascii="Times New Roman" w:hAnsi="Times New Roman" w:cs="Times New Roman"/>
        </w:rPr>
        <w:t>(2) Alle Anzeigen und Mitteilungen gelten als der jeweils anderen Partei zugegangen, wenn sie an folgende Adresse zugehen:</w:t>
      </w:r>
    </w:p>
    <w:p>
      <w:pPr>
        <w:spacing w:after="120" w:line="259" w:lineRule="auto"/>
        <w:jc w:val="both"/>
      </w:pPr>
      <w:r>
        <w:rPr>
          <w:rFonts w:ascii="Times New Roman" w:hAnsi="Times New Roman"/>
          <w:b w:val="0"/>
          <w:i w:val="0"/>
          <w:sz w:val="24"/>
          <w:rFonts w:ascii="Times New Roman" w:hAnsi="Times New Roman" w:cs="Times New Roman"/>
        </w:rPr>
        <w:t>a) an den Verkäufer:</w:t>
      </w:r>
    </w:p>
    <w:p>
      <w:pPr>
        <w:spacing w:after="120" w:line="259" w:lineRule="auto"/>
        <w:jc w:val="both"/>
      </w:pPr>
      <w:r>
        <w:rPr>
          <w:rFonts w:ascii="Times New Roman" w:hAnsi="Times New Roman"/>
          <w:b w:val="0"/>
          <w:i w:val="0"/>
          <w:sz w:val="24"/>
          <w:rFonts w:ascii="Times New Roman" w:hAnsi="Times New Roman" w:cs="Times New Roman"/>
        </w:rPr>
        <w:t>Herrn Rechtsanwalt Dr. Konrad Vorberg als Insolvenzverwalter der ChainCortex AI GmbH</w:t>
      </w:r>
    </w:p>
    <w:p>
      <w:pPr>
        <w:spacing w:after="120" w:line="259" w:lineRule="auto"/>
        <w:jc w:val="both"/>
      </w:pPr>
      <w:r>
        <w:rPr>
          <w:rFonts w:ascii="Times New Roman" w:hAnsi="Times New Roman"/>
          <w:b w:val="0"/>
          <w:i w:val="0"/>
          <w:sz w:val="24"/>
          <w:rFonts w:ascii="Times New Roman" w:hAnsi="Times New Roman" w:cs="Times New Roman"/>
        </w:rPr>
        <w:t>Vorberg + Steinhausen Rechtsanwälte mbB, Charlottenstraße 65, 10117 Berlin</w:t>
      </w:r>
    </w:p>
    <w:p>
      <w:pPr>
        <w:spacing w:after="120" w:line="259" w:lineRule="auto"/>
        <w:jc w:val="both"/>
      </w:pPr>
      <w:r>
        <w:rPr>
          <w:rFonts w:ascii="Times New Roman" w:hAnsi="Times New Roman"/>
          <w:b w:val="0"/>
          <w:i w:val="0"/>
          <w:sz w:val="24"/>
          <w:rFonts w:ascii="Times New Roman" w:hAnsi="Times New Roman" w:cs="Times New Roman"/>
        </w:rPr>
        <w:t>Telefon: +49 30 23476-200 / Fax: +49 30 23476-299</w:t>
      </w:r>
    </w:p>
    <w:p>
      <w:pPr>
        <w:spacing w:after="120" w:line="259" w:lineRule="auto"/>
        <w:jc w:val="both"/>
      </w:pPr>
      <w:r>
        <w:rPr>
          <w:rFonts w:ascii="Times New Roman" w:hAnsi="Times New Roman"/>
          <w:b w:val="0"/>
          <w:i w:val="0"/>
          <w:sz w:val="24"/>
          <w:rFonts w:ascii="Times New Roman" w:hAnsi="Times New Roman" w:cs="Times New Roman"/>
        </w:rPr>
        <w:t>E-Mail: konrad.vorberg@vorberg-steinhausen.de</w:t>
      </w:r>
    </w:p>
    <w:p>
      <w:pPr>
        <w:spacing w:after="120" w:line="259" w:lineRule="auto"/>
        <w:jc w:val="both"/>
      </w:pPr>
      <w:r>
        <w:rPr>
          <w:rFonts w:ascii="Times New Roman" w:hAnsi="Times New Roman"/>
          <w:b w:val="0"/>
          <w:i w:val="0"/>
          <w:sz w:val="24"/>
          <w:rFonts w:ascii="Times New Roman" w:hAnsi="Times New Roman" w:cs="Times New Roman"/>
        </w:rPr>
        <w:t>mit Kopie zur Kenntnisnahme an: RA Mathis Reuter, E-Mail: mathis.reuter@vorberg-steinhausen.de</w:t>
      </w:r>
    </w:p>
    <w:p>
      <w:pPr>
        <w:spacing w:after="120" w:line="259" w:lineRule="auto"/>
        <w:jc w:val="both"/>
      </w:pPr>
      <w:r>
        <w:rPr>
          <w:rFonts w:ascii="Times New Roman" w:hAnsi="Times New Roman"/>
          <w:b w:val="0"/>
          <w:i w:val="0"/>
          <w:sz w:val="24"/>
          <w:rFonts w:ascii="Times New Roman" w:hAnsi="Times New Roman" w:cs="Times New Roman"/>
        </w:rPr>
        <w:t>b) an den Käufer:</w:t>
      </w:r>
    </w:p>
    <w:p>
      <w:pPr>
        <w:spacing w:after="120" w:line="259" w:lineRule="auto"/>
        <w:jc w:val="both"/>
      </w:pPr>
      <w:r>
        <w:rPr>
          <w:rFonts w:ascii="Times New Roman" w:hAnsi="Times New Roman"/>
          <w:b w:val="0"/>
          <w:i w:val="0"/>
          <w:sz w:val="24"/>
          <w:rFonts w:ascii="Times New Roman" w:hAnsi="Times New Roman" w:cs="Times New Roman"/>
        </w:rPr>
        <w:t>Voracis Ventures GmbH, z. Hd. der Geschäftsführerin Frau Dr. Carlotta Hennings</w:t>
      </w:r>
    </w:p>
    <w:p>
      <w:pPr>
        <w:spacing w:after="120" w:line="259" w:lineRule="auto"/>
        <w:jc w:val="both"/>
      </w:pPr>
      <w:r>
        <w:rPr>
          <w:rFonts w:ascii="Times New Roman" w:hAnsi="Times New Roman"/>
          <w:b w:val="0"/>
          <w:i w:val="0"/>
          <w:sz w:val="24"/>
          <w:rFonts w:ascii="Times New Roman" w:hAnsi="Times New Roman" w:cs="Times New Roman"/>
        </w:rPr>
        <w:t>Kurfürstendamm 188, 10707 Berlin</w:t>
      </w:r>
    </w:p>
    <w:p>
      <w:pPr>
        <w:spacing w:after="120" w:line="259" w:lineRule="auto"/>
        <w:jc w:val="both"/>
      </w:pPr>
      <w:r>
        <w:rPr>
          <w:rFonts w:ascii="Times New Roman" w:hAnsi="Times New Roman"/>
          <w:b w:val="0"/>
          <w:i w:val="0"/>
          <w:sz w:val="24"/>
          <w:rFonts w:ascii="Times New Roman" w:hAnsi="Times New Roman" w:cs="Times New Roman"/>
        </w:rPr>
        <w:t>Telefon: +49 30 887344-50 / E-Mail: c.hennings@voracis-ventures.com</w:t>
      </w:r>
    </w:p>
    <w:p>
      <w:pPr>
        <w:spacing w:after="120" w:line="259" w:lineRule="auto"/>
        <w:jc w:val="both"/>
      </w:pPr>
      <w:r>
        <w:rPr>
          <w:rFonts w:ascii="Times New Roman" w:hAnsi="Times New Roman"/>
          <w:b w:val="0"/>
          <w:i w:val="0"/>
          <w:sz w:val="24"/>
          <w:rFonts w:ascii="Times New Roman" w:hAnsi="Times New Roman" w:cs="Times New Roman"/>
        </w:rPr>
        <w:t>mit Kopie zur Kenntnisnahme an:</w:t>
      </w:r>
    </w:p>
    <w:p>
      <w:pPr>
        <w:spacing w:after="120" w:line="259" w:lineRule="auto"/>
        <w:jc w:val="both"/>
      </w:pPr>
      <w:r>
        <w:rPr>
          <w:rFonts w:ascii="Times New Roman" w:hAnsi="Times New Roman"/>
          <w:b w:val="0"/>
          <w:i w:val="0"/>
          <w:sz w:val="24"/>
          <w:rFonts w:ascii="Times New Roman" w:hAnsi="Times New Roman" w:cs="Times New Roman"/>
        </w:rPr>
        <w:t>Strehlemann Karawane PartmbB, RA Tobitz Strehlemann, Maximilianstraße 14, 80539 München</w:t>
      </w:r>
    </w:p>
    <w:p>
      <w:pPr>
        <w:spacing w:after="120" w:line="259" w:lineRule="auto"/>
        <w:jc w:val="both"/>
      </w:pPr>
      <w:r>
        <w:rPr>
          <w:rFonts w:ascii="Times New Roman" w:hAnsi="Times New Roman"/>
          <w:b w:val="0"/>
          <w:i w:val="0"/>
          <w:sz w:val="24"/>
          <w:rFonts w:ascii="Times New Roman" w:hAnsi="Times New Roman" w:cs="Times New Roman"/>
        </w:rPr>
        <w:t>E-Mail: tobitz.strehlemann@strehlemann-karawane.de</w:t>
      </w:r>
    </w:p>
    <w:p>
      <w:pPr>
        <w:spacing w:after="120" w:line="259" w:lineRule="auto"/>
        <w:jc w:val="both"/>
      </w:pPr>
      <w:r>
        <w:rPr>
          <w:rFonts w:ascii="Times New Roman" w:hAnsi="Times New Roman"/>
          <w:b w:val="0"/>
          <w:i w:val="0"/>
          <w:sz w:val="24"/>
          <w:rFonts w:ascii="Times New Roman" w:hAnsi="Times New Roman" w:cs="Times New Roman"/>
        </w:rPr>
        <w:t>(3) Änderungen der Anschrift hat die betroffene Partei unverzüglich der jeweils anderen Partei mitzuteilen. Solange diese Mitteilung nicht erfolgt ist, bleiben die hier genannten Anschriften maßgeblich.</w:t>
      </w:r>
    </w:p>
    <w:p>
      <w:pPr>
        <w:spacing w:after="160" w:line="259" w:lineRule="auto"/>
        <w:jc w:val="both"/>
      </w:pPr>
      <w:r>
        <w:rPr>
          <w:rFonts w:ascii="Times New Roman" w:hAnsi="Times New Roman"/>
          <w:b/>
          <w:i w:val="0"/>
          <w:sz w:val="25"/>
          <w:rFonts w:ascii="Times New Roman" w:hAnsi="Times New Roman" w:cs="Times New Roman"/>
        </w:rPr>
        <w:t>§ 11   Schlussbestimmungen</w:t>
      </w:r>
    </w:p>
    <w:p>
      <w:pPr>
        <w:spacing w:after="120" w:line="259" w:lineRule="auto"/>
        <w:jc w:val="both"/>
      </w:pPr>
      <w:r>
        <w:rPr>
          <w:rFonts w:ascii="Times New Roman" w:hAnsi="Times New Roman"/>
          <w:b w:val="0"/>
          <w:i w:val="0"/>
          <w:sz w:val="24"/>
          <w:rFonts w:ascii="Times New Roman" w:hAnsi="Times New Roman" w:cs="Times New Roman"/>
        </w:rPr>
        <w:t>(1) Die Präambel ist Teil dieses Vertrages und hat Regelungsgehalt.</w:t>
      </w:r>
    </w:p>
    <w:p>
      <w:pPr>
        <w:spacing w:after="120" w:line="259" w:lineRule="auto"/>
        <w:jc w:val="both"/>
      </w:pPr>
      <w:r>
        <w:rPr>
          <w:rFonts w:ascii="Times New Roman" w:hAnsi="Times New Roman"/>
          <w:b w:val="0"/>
          <w:i w:val="0"/>
          <w:sz w:val="24"/>
          <w:rFonts w:ascii="Times New Roman" w:hAnsi="Times New Roman" w:cs="Times New Roman"/>
        </w:rPr>
        <w:t>(2) Dieser Vertrag, die Rechte und Pflichten der Parteien sowie jegliche Klagen oder Streitigkeiten hieraus unterliegen ausschließlich dem Recht der Bundesrepublik Deutschland unter Ausschluss des Übereinkommens der Vereinten Nationen über Verträge über den internationalen Warenkauf (CISG) sowie der IPR-Vorschriften. Gerichtsstand für alle Streitigkeiten aus und im Zusammenhang mit diesem Vertrag ist Berlin.</w:t>
      </w:r>
    </w:p>
    <w:p>
      <w:pPr>
        <w:spacing w:after="120" w:line="259" w:lineRule="auto"/>
        <w:jc w:val="both"/>
      </w:pPr>
      <w:r>
        <w:rPr>
          <w:rFonts w:ascii="Times New Roman" w:hAnsi="Times New Roman"/>
          <w:b w:val="0"/>
          <w:i w:val="0"/>
          <w:sz w:val="24"/>
          <w:rFonts w:ascii="Times New Roman" w:hAnsi="Times New Roman" w:cs="Times New Roman"/>
        </w:rPr>
        <w:t>(3) Die diesem Vertrag beigefügten Anlagen sind integraler Bestandteil des Vertrags zwischen den Parteien.</w:t>
      </w:r>
    </w:p>
    <w:p>
      <w:pPr>
        <w:spacing w:after="120" w:line="259" w:lineRule="auto"/>
        <w:jc w:val="both"/>
      </w:pPr>
      <w:r>
        <w:rPr>
          <w:rFonts w:ascii="Times New Roman" w:hAnsi="Times New Roman"/>
          <w:b w:val="0"/>
          <w:i w:val="0"/>
          <w:sz w:val="24"/>
          <w:rFonts w:ascii="Times New Roman" w:hAnsi="Times New Roman" w:cs="Times New Roman"/>
        </w:rPr>
        <w:t>(4) Keine Partei dieses Vertrages kann ihre Rechte und Pflichten aus diesem Vertrag oder einzelne Rechte und Pflichten aus diesem Vertrag ohne Zustimmung der jeweils anderen Partei ganz oder teilweise auf Dritte übertragen.</w:t>
      </w:r>
    </w:p>
    <w:p>
      <w:pPr>
        <w:spacing w:after="120" w:line="259" w:lineRule="auto"/>
        <w:jc w:val="both"/>
      </w:pPr>
      <w:r>
        <w:rPr>
          <w:rFonts w:ascii="Times New Roman" w:hAnsi="Times New Roman"/>
          <w:b w:val="0"/>
          <w:i w:val="0"/>
          <w:sz w:val="24"/>
          <w:rFonts w:ascii="Times New Roman" w:hAnsi="Times New Roman" w:cs="Times New Roman"/>
        </w:rPr>
        <w:t>(5) Keine Partei wird ohne vorherige schriftliche Zustimmung der anderen Partei Presseerklärungen oder ähnliche öffentliche Verlautbarungen im Hinblick auf diesen Vertrag veröffentlichen, sofern solche Veröffentlichungen nicht rechtlich vorgeschrieben sind, oder auf Anfrage von Dritten Informationen über den Inhalt dieses Vertrages weiterleiten, sofern solche Informationen nicht zur Fortführung oder Überleitung des Geschäftsbetriebes notwendig sind.</w:t>
      </w:r>
    </w:p>
    <w:p>
      <w:pPr>
        <w:spacing w:after="120" w:line="259" w:lineRule="auto"/>
        <w:jc w:val="both"/>
      </w:pPr>
      <w:r>
        <w:rPr>
          <w:rFonts w:ascii="Times New Roman" w:hAnsi="Times New Roman"/>
          <w:b w:val="0"/>
          <w:i w:val="0"/>
          <w:sz w:val="24"/>
          <w:rFonts w:ascii="Times New Roman" w:hAnsi="Times New Roman" w:cs="Times New Roman"/>
        </w:rPr>
        <w:t>(6) Änderungen und Ergänzungen dieses Vertrages, einschließlich dieser Klausel, bedürfen der Textform und müssen ausdrücklich (i) auf diesen Vertrag Bezug nehmen und (ii) feststellen, dass damit dieser Vertrag geändert werden soll.</w:t>
      </w:r>
    </w:p>
    <w:p>
      <w:pPr>
        <w:spacing w:after="120" w:line="259" w:lineRule="auto"/>
        <w:jc w:val="both"/>
      </w:pPr>
      <w:r>
        <w:rPr>
          <w:rFonts w:ascii="Times New Roman" w:hAnsi="Times New Roman"/>
          <w:b w:val="0"/>
          <w:i w:val="0"/>
          <w:sz w:val="24"/>
          <w:rFonts w:ascii="Times New Roman" w:hAnsi="Times New Roman" w:cs="Times New Roman"/>
        </w:rPr>
        <w:t>(7) Dieser Vertrag kann in einer beliebigen Anzahl von Gegenstücken in Textform ausgeführt und übermittelt werden (über DocuSign o. ä. und/oder per Austausch von PDF-Kopien der Unterschriftenseiten per E-Mail ist ausreichend), von denen jedes Gegenstück bei Ausführung und Übermittlung ein Original darstellt; wobei diese Gegenstücke zusammen einen einzigen einheitlichen Vertrag bilden. Soweit rechtlich vorgeschrieben, verpflichtet sich jede der Parteien, auf Verlangen der anderen Partei zusätzlich schriftliche Originalausfertigungen dieses Vertrages auszuführen und zu liefern.</w:t>
      </w:r>
    </w:p>
    <w:p>
      <w:pPr>
        <w:spacing w:after="120" w:line="259" w:lineRule="auto"/>
        <w:jc w:val="both"/>
      </w:pPr>
      <w:r>
        <w:rPr>
          <w:rFonts w:ascii="Times New Roman" w:hAnsi="Times New Roman"/>
          <w:b w:val="0"/>
          <w:i w:val="0"/>
          <w:sz w:val="24"/>
          <w:rFonts w:ascii="Times New Roman" w:hAnsi="Times New Roman" w:cs="Times New Roman"/>
        </w:rPr>
        <w:t>(8) Ist oder wird eine Bestimmung dieses Vertrages ganz oder teilweise unwirksam, so wird hierdurch die Wirksamkeit der übrigen Bestimmungen des Vertrages nicht berührt. Für diesen Fall verpflichten sich die Vertragsparteien, die unwirksame Bestimmung durch eine solche wirksame zu ersetzen, die dem wirtschaftlichen Zweck der unwirksamen Bestimmung möglichst nahe kommt. Gleiches gilt für den Fall, dass sich bei Durchführung dieses Vertrages eine ergänzungsbedürftige Lücke herausstellen sollte.</w:t>
      </w:r>
    </w:p>
    <w:p>
      <w:pPr>
        <w:spacing w:after="120" w:line="259" w:lineRule="auto"/>
        <w:jc w:val="both"/>
      </w:pPr>
      <w:r>
        <w:rPr>
          <w:rFonts w:ascii="Times New Roman" w:hAnsi="Times New Roman"/>
          <w:b w:val="0"/>
          <w:i w:val="0"/>
          <w:sz w:val="24"/>
          <w:rFonts w:ascii="Times New Roman" w:hAnsi="Times New Roman" w:cs="Times New Roman"/>
        </w:rPr>
        <w:t>(9) Compliance-Standards: Der Käufer hat ein internes Hinweisgebersystem nach dem Hinweisgeberschutzgesetz (HinSchG) eingerichtet und betreibt ein angemessenes Compliance-Management-System (Datenschutz, Geldwäscheprävention, IT-Sicherheit). Eine etwaige Hinweisaufnahme bezüglich vorinsolvenzlicher Sachverhalte der Schuldnerin erfolgt unter Wahrung der gesetzlichen Geheimhaltungspflichten und unter Einbeziehung des Insolvenzverwalters; dieser entscheidet nach pflichtgemäßem Ermessen über die Mitteilung an den Gläubigerausschuss und über die Geltendmachung etwaiger Ersatzansprüche der Masse gegen Dritte.</w:t>
      </w:r>
    </w:p>
    <w:p>
      <w:pPr>
        <w:pBdr>
          <w:bottom w:val="single" w:sz="6" w:space="1" w:color="777777"/>
        </w:pBdr>
        <w:spacing w:line="259" w:lineRule="auto" w:after="60"/>
      </w:pPr>
    </w:p>
    <w:p>
      <w:pPr>
        <w:spacing w:after="360" w:line="259" w:lineRule="auto"/>
        <w:jc w:val="both"/>
      </w:pPr>
      <w:r>
        <w:rPr>
          <w:rFonts w:ascii="Times New Roman" w:hAnsi="Times New Roman"/>
          <w:b w:val="0"/>
          <w:i w:val="0"/>
          <w:sz w:val="24"/>
          <w:rFonts w:ascii="Times New Roman" w:hAnsi="Times New Roman" w:cs="Times New Roman"/>
        </w:rPr>
        <w:t>Berlin, den 25.06.2026</w:t>
      </w:r>
    </w:p>
    <w:p>
      <w:pPr>
        <w:spacing w:after="80" w:line="259" w:lineRule="auto"/>
        <w:jc w:val="both"/>
      </w:pPr>
      <w:r>
        <w:rPr>
          <w:rFonts w:ascii="Times New Roman" w:hAnsi="Times New Roman"/>
          <w:b w:val="0"/>
          <w:i w:val="0"/>
          <w:sz w:val="24"/>
          <w:rFonts w:ascii="Times New Roman" w:hAnsi="Times New Roman" w:cs="Times New Roman"/>
        </w:rPr>
        <w:t>____________________________________</w:t>
      </w:r>
    </w:p>
    <w:p>
      <w:pPr>
        <w:spacing w:after="40" w:line="259" w:lineRule="auto"/>
        <w:jc w:val="both"/>
      </w:pPr>
      <w:r>
        <w:rPr>
          <w:rFonts w:ascii="Times New Roman" w:hAnsi="Times New Roman"/>
          <w:b w:val="0"/>
          <w:i w:val="0"/>
          <w:sz w:val="24"/>
          <w:rFonts w:ascii="Times New Roman" w:hAnsi="Times New Roman" w:cs="Times New Roman"/>
        </w:rPr>
        <w:t>Dr. Konrad Vorberg, in seiner Eigenschaft als Insolvenzverwalter über das Vermögen der ChainCortex AI GmbH</w:t>
      </w:r>
    </w:p>
    <w:p>
      <w:pPr>
        <w:spacing w:after="320" w:line="259" w:lineRule="auto"/>
        <w:jc w:val="both"/>
      </w:pPr>
      <w:r>
        <w:rPr>
          <w:rFonts w:ascii="Times New Roman" w:hAnsi="Times New Roman"/>
          <w:b w:val="0"/>
          <w:i/>
          <w:sz w:val="24"/>
          <w:rFonts w:ascii="Times New Roman" w:hAnsi="Times New Roman" w:cs="Times New Roman"/>
        </w:rPr>
        <w:t>(Amtsgericht Charlottenburg HRB 234567 B; Az. 36 IN 1342/26)</w:t>
      </w:r>
    </w:p>
    <w:p>
      <w:pPr>
        <w:spacing w:after="360" w:line="259" w:lineRule="auto"/>
        <w:jc w:val="both"/>
      </w:pPr>
      <w:r>
        <w:rPr>
          <w:rFonts w:ascii="Times New Roman" w:hAnsi="Times New Roman"/>
          <w:b w:val="0"/>
          <w:i w:val="0"/>
          <w:sz w:val="24"/>
          <w:rFonts w:ascii="Times New Roman" w:hAnsi="Times New Roman" w:cs="Times New Roman"/>
        </w:rPr>
        <w:t>Berlin, den 25.06.2026</w:t>
      </w:r>
    </w:p>
    <w:p>
      <w:pPr>
        <w:spacing w:after="80" w:line="259" w:lineRule="auto"/>
        <w:jc w:val="both"/>
      </w:pPr>
      <w:r>
        <w:rPr>
          <w:rFonts w:ascii="Times New Roman" w:hAnsi="Times New Roman"/>
          <w:b w:val="0"/>
          <w:i w:val="0"/>
          <w:sz w:val="24"/>
          <w:rFonts w:ascii="Times New Roman" w:hAnsi="Times New Roman" w:cs="Times New Roman"/>
        </w:rPr>
        <w:t>____________________________________</w:t>
      </w:r>
    </w:p>
    <w:p>
      <w:pPr>
        <w:spacing w:after="40" w:line="259" w:lineRule="auto"/>
        <w:jc w:val="both"/>
      </w:pPr>
      <w:r>
        <w:rPr>
          <w:rFonts w:ascii="Times New Roman" w:hAnsi="Times New Roman"/>
          <w:b w:val="0"/>
          <w:i w:val="0"/>
          <w:sz w:val="24"/>
          <w:rFonts w:ascii="Times New Roman" w:hAnsi="Times New Roman" w:cs="Times New Roman"/>
        </w:rPr>
        <w:t>Voracis Ventures GmbH,</w:t>
      </w:r>
    </w:p>
    <w:p>
      <w:pPr>
        <w:spacing w:after="320" w:line="259" w:lineRule="auto"/>
        <w:jc w:val="both"/>
      </w:pPr>
      <w:r>
        <w:rPr>
          <w:rFonts w:ascii="Times New Roman" w:hAnsi="Times New Roman"/>
          <w:b w:val="0"/>
          <w:i w:val="0"/>
          <w:sz w:val="24"/>
          <w:rFonts w:ascii="Times New Roman" w:hAnsi="Times New Roman" w:cs="Times New Roman"/>
        </w:rPr>
        <w:t>vertreten durch ihre Geschäftsführerin Frau Dr. Carlotta Hennings</w:t>
      </w:r>
    </w:p>
    <w:p>
      <w:pPr>
        <w:pBdr>
          <w:bottom w:val="single" w:sz="6" w:space="1" w:color="777777"/>
        </w:pBdr>
        <w:spacing w:line="259" w:lineRule="auto" w:after="60"/>
      </w:pPr>
    </w:p>
    <w:p>
      <w:pPr>
        <w:spacing w:after="160" w:line="259" w:lineRule="auto"/>
        <w:jc w:val="both"/>
      </w:pPr>
      <w:r>
        <w:rPr>
          <w:rFonts w:ascii="Times New Roman" w:hAnsi="Times New Roman"/>
          <w:b/>
          <w:i w:val="0"/>
          <w:sz w:val="28"/>
          <w:rFonts w:ascii="Times New Roman" w:hAnsi="Times New Roman" w:cs="Times New Roman"/>
        </w:rPr>
        <w:t>ANLAGEN</w:t>
      </w:r>
    </w:p>
    <w:p>
      <w:pPr>
        <w:spacing w:after="40" w:line="259" w:lineRule="auto"/>
        <w:jc w:val="both"/>
      </w:pPr>
      <w:r>
        <w:rPr>
          <w:rFonts w:ascii="Times New Roman" w:hAnsi="Times New Roman"/>
          <w:b w:val="0"/>
          <w:i w:val="0"/>
          <w:sz w:val="24"/>
          <w:rFonts w:ascii="Times New Roman" w:hAnsi="Times New Roman" w:cs="Times New Roman"/>
        </w:rPr>
        <w:t>Anlage 1 – IP-Rights</w:t>
      </w:r>
    </w:p>
    <w:p>
      <w:pPr>
        <w:spacing w:after="40" w:line="259" w:lineRule="auto"/>
        <w:jc w:val="both"/>
      </w:pPr>
      <w:r>
        <w:rPr>
          <w:rFonts w:ascii="Times New Roman" w:hAnsi="Times New Roman"/>
          <w:b w:val="0"/>
          <w:i w:val="0"/>
          <w:sz w:val="24"/>
          <w:rFonts w:ascii="Times New Roman" w:hAnsi="Times New Roman" w:cs="Times New Roman"/>
        </w:rPr>
        <w:t xml:space="preserve">  Anlage 1a – Marken (DPMA-Wortmarken ChainCortex, BlockSight; Bildmarke ChainCortex-Logo)</w:t>
      </w:r>
    </w:p>
    <w:p>
      <w:pPr>
        <w:spacing w:after="40" w:line="259" w:lineRule="auto"/>
        <w:jc w:val="both"/>
      </w:pPr>
      <w:r>
        <w:rPr>
          <w:rFonts w:ascii="Times New Roman" w:hAnsi="Times New Roman"/>
          <w:b w:val="0"/>
          <w:i w:val="0"/>
          <w:sz w:val="24"/>
          <w:rFonts w:ascii="Times New Roman" w:hAnsi="Times New Roman" w:cs="Times New Roman"/>
        </w:rPr>
        <w:t xml:space="preserve">  Anlage 1b – Software-Repositories (CCE-Core, BlockSight Sentinel, InsightLLM-Adapter) – privates GitHub-Repo „github.com/chaincortex/“ zur Übertragung</w:t>
      </w:r>
    </w:p>
    <w:p>
      <w:pPr>
        <w:spacing w:after="40" w:line="259" w:lineRule="auto"/>
        <w:jc w:val="both"/>
      </w:pPr>
      <w:r>
        <w:rPr>
          <w:rFonts w:ascii="Times New Roman" w:hAnsi="Times New Roman"/>
          <w:b w:val="0"/>
          <w:i w:val="0"/>
          <w:sz w:val="24"/>
          <w:rFonts w:ascii="Times New Roman" w:hAnsi="Times New Roman" w:cs="Times New Roman"/>
        </w:rPr>
        <w:t xml:space="preserve">  Anlage 1c – Kundendaten</w:t>
      </w:r>
    </w:p>
    <w:p>
      <w:pPr>
        <w:spacing w:after="40" w:line="259" w:lineRule="auto"/>
        <w:jc w:val="both"/>
      </w:pPr>
      <w:r>
        <w:rPr>
          <w:rFonts w:ascii="Times New Roman" w:hAnsi="Times New Roman"/>
          <w:b w:val="0"/>
          <w:i w:val="0"/>
          <w:sz w:val="24"/>
          <w:rFonts w:ascii="Times New Roman" w:hAnsi="Times New Roman" w:cs="Times New Roman"/>
        </w:rPr>
        <w:t xml:space="preserve">    Anlage 1c.1 – Business-Kunden (juristische Personen) – siehe xlsx/kundendaten-business.xlsx</w:t>
      </w:r>
    </w:p>
    <w:p>
      <w:pPr>
        <w:spacing w:after="40" w:line="259" w:lineRule="auto"/>
        <w:jc w:val="both"/>
      </w:pPr>
      <w:r>
        <w:rPr>
          <w:rFonts w:ascii="Times New Roman" w:hAnsi="Times New Roman"/>
          <w:b w:val="0"/>
          <w:i w:val="0"/>
          <w:sz w:val="24"/>
          <w:rFonts w:ascii="Times New Roman" w:hAnsi="Times New Roman" w:cs="Times New Roman"/>
        </w:rPr>
        <w:t xml:space="preserve">    Anlage 1c.2 – Privatkunden (natürliche Personen, vorbehaltlich 30-Tage-Widerspruchsfrist DSGVO) – siehe xlsx/kundendaten-privat.xlsx</w:t>
      </w:r>
    </w:p>
    <w:p>
      <w:pPr>
        <w:spacing w:after="40" w:line="259" w:lineRule="auto"/>
        <w:jc w:val="both"/>
      </w:pPr>
      <w:r>
        <w:rPr>
          <w:rFonts w:ascii="Times New Roman" w:hAnsi="Times New Roman"/>
          <w:b w:val="0"/>
          <w:i w:val="0"/>
          <w:sz w:val="24"/>
          <w:rFonts w:ascii="Times New Roman" w:hAnsi="Times New Roman" w:cs="Times New Roman"/>
        </w:rPr>
        <w:t xml:space="preserve">  Anlage 1d – Domains (chaincortex.ai, chaincortex.io, blocksight-sentinel.io, blocksight.de)</w:t>
      </w:r>
    </w:p>
    <w:p>
      <w:pPr>
        <w:spacing w:after="40" w:line="259" w:lineRule="auto"/>
        <w:jc w:val="both"/>
      </w:pPr>
      <w:r>
        <w:rPr>
          <w:rFonts w:ascii="Times New Roman" w:hAnsi="Times New Roman"/>
          <w:b w:val="0"/>
          <w:i w:val="0"/>
          <w:sz w:val="24"/>
          <w:rFonts w:ascii="Times New Roman" w:hAnsi="Times New Roman" w:cs="Times New Roman"/>
        </w:rPr>
        <w:t xml:space="preserve">  Anlage 1e – Know-how / Geschäftsgeheimnisse nach GeschGehG</w:t>
      </w:r>
    </w:p>
    <w:p>
      <w:pPr>
        <w:spacing w:after="40" w:line="259" w:lineRule="auto"/>
        <w:jc w:val="both"/>
      </w:pPr>
      <w:r>
        <w:rPr>
          <w:rFonts w:ascii="Times New Roman" w:hAnsi="Times New Roman"/>
          <w:b w:val="0"/>
          <w:i w:val="0"/>
          <w:sz w:val="24"/>
          <w:rFonts w:ascii="Times New Roman" w:hAnsi="Times New Roman" w:cs="Times New Roman"/>
        </w:rPr>
        <w:t>Anlage 2 – Arbeitsverhältnisse (10 von 12 – siehe xlsx/arbeitnehmer-uebernahmestatus.xlsx)</w:t>
      </w:r>
    </w:p>
    <w:p>
      <w:pPr>
        <w:spacing w:after="40" w:line="259" w:lineRule="auto"/>
        <w:jc w:val="both"/>
      </w:pPr>
      <w:r>
        <w:rPr>
          <w:rFonts w:ascii="Times New Roman" w:hAnsi="Times New Roman"/>
          <w:b w:val="0"/>
          <w:i w:val="0"/>
          <w:sz w:val="24"/>
          <w:rFonts w:ascii="Times New Roman" w:hAnsi="Times New Roman" w:cs="Times New Roman"/>
        </w:rPr>
        <w:t>Anlage 3 – Asset-Inventur Hardware (separater Veräußerungsvorgang, nicht Gegenstand dieses APA)</w:t>
      </w:r>
    </w:p>
    <w:p>
      <w:pPr>
        <w:spacing w:after="40" w:line="259" w:lineRule="auto"/>
        <w:jc w:val="both"/>
      </w:pPr>
      <w:r>
        <w:rPr>
          <w:rFonts w:ascii="Times New Roman" w:hAnsi="Times New Roman"/>
          <w:b w:val="0"/>
          <w:i w:val="0"/>
          <w:sz w:val="24"/>
          <w:rFonts w:ascii="Times New Roman" w:hAnsi="Times New Roman" w:cs="Times New Roman"/>
        </w:rPr>
        <w:t>Anlage 4 – § 613a Abs. 5 BGB-Unterrichtungsschreiben vom 02.06.2026</w:t>
      </w:r>
    </w:p>
    <w:p>
      <w:pPr>
        <w:spacing w:after="40" w:line="259" w:lineRule="auto"/>
        <w:jc w:val="both"/>
      </w:pPr>
      <w:r>
        <w:rPr>
          <w:rFonts w:ascii="Times New Roman" w:hAnsi="Times New Roman"/>
          <w:b w:val="0"/>
          <w:i w:val="0"/>
          <w:sz w:val="24"/>
          <w:rFonts w:ascii="Times New Roman" w:hAnsi="Times New Roman" w:cs="Times New Roman"/>
        </w:rPr>
        <w:t>Anlage 5 – DSGVO-Informationsschreiben vom 18.06.2026 (Art. 14 DSGVO)</w:t>
      </w:r>
    </w:p>
    <w:p>
      <w:pPr>
        <w:spacing w:after="40" w:line="259" w:lineRule="auto"/>
        <w:jc w:val="both"/>
      </w:pPr>
      <w:r>
        <w:rPr>
          <w:rFonts w:ascii="Times New Roman" w:hAnsi="Times New Roman"/>
          <w:b w:val="0"/>
          <w:i w:val="0"/>
          <w:sz w:val="24"/>
          <w:rFonts w:ascii="Times New Roman" w:hAnsi="Times New Roman" w:cs="Times New Roman"/>
        </w:rPr>
        <w:t>Anlage 6 – Gläubigerausschuss-Beschluss vom 17.06.2026 gem. § 160 Abs. 2 Nr. 1 InsO</w:t>
      </w:r>
    </w:p>
    <w:sectPr w:rsidR="00FC693F" w:rsidRPr="0006063C" w:rsidSect="00034616">
      <w:headerReference w:type="default" r:id="rId9"/>
      <w:footerReference w:type="default" r:id="rId10"/>
      <w:pgSz w:w="12240" w:h="15840"/>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color w:val="777777"/>
        <w:sz w:val="17"/>
      </w:rPr>
      <w:t>Vertraulich | Bearbeitungsstand Juli 2026 | nur zur Aktenbearbeitung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66666"/>
        <w:sz w:val="17"/>
      </w:rPr>
      <w:t>Lindenhof und Partner mbB | Insolvenz- und Restrukturierungsakte | Bearbeitungsstand Juli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s="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