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pPr>
      <w:r>
        <w:rPr>
          <w:rFonts w:ascii="Times New Roman" w:hAnsi="Times New Roman"/>
          <w:b/>
          <w:i w:val="0"/>
          <w:sz w:val="28"/>
        </w:rPr>
        <w:t>Vorberg + Steinhausen Rechtsanwaelte mbB</w:t>
      </w:r>
    </w:p>
    <w:p>
      <w:pPr>
        <w:spacing w:after="60" w:before="120" w:line="259" w:lineRule="auto"/>
        <w:jc w:val="center"/>
      </w:pPr>
      <w:r>
        <w:rPr>
          <w:rFonts w:ascii="Times New Roman" w:hAnsi="Times New Roman"/>
          <w:b/>
          <w:i w:val="0"/>
          <w:sz w:val="22"/>
        </w:rPr>
        <w:t>Charlottenstrasse 65, 10117 Berlin</w:t>
      </w:r>
    </w:p>
    <w:p>
      <w:pPr>
        <w:spacing w:after="240" w:line="259" w:lineRule="auto"/>
        <w:jc w:val="both"/>
      </w:pPr>
      <w:r>
        <w:rPr>
          <w:rFonts w:ascii="Times New Roman" w:hAnsi="Times New Roman"/>
          <w:b w:val="0"/>
          <w:i w:val="0"/>
          <w:sz w:val="24"/>
        </w:rPr>
      </w:r>
    </w:p>
    <w:p>
      <w:pPr>
        <w:spacing w:after="60" w:before="120" w:line="259" w:lineRule="auto"/>
        <w:jc w:val="both"/>
      </w:pPr>
      <w:r>
        <w:rPr>
          <w:rFonts w:ascii="Times New Roman" w:hAnsi="Times New Roman"/>
          <w:b/>
          <w:i w:val="0"/>
          <w:sz w:val="22"/>
        </w:rPr>
        <w:t>An [Adressatin/Adressat] - persoenlich/vertraulich</w:t>
      </w:r>
    </w:p>
    <w:p>
      <w:pPr>
        <w:spacing w:after="60" w:before="120" w:line="259" w:lineRule="auto"/>
        <w:jc w:val="both"/>
      </w:pPr>
      <w:r>
        <w:rPr>
          <w:rFonts w:ascii="Times New Roman" w:hAnsi="Times New Roman"/>
          <w:b/>
          <w:i w:val="0"/>
          <w:sz w:val="22"/>
        </w:rPr>
        <w:t>Berlin, den 02.06.2026</w:t>
      </w:r>
    </w:p>
    <w:p>
      <w:pPr>
        <w:spacing w:after="200" w:line="259" w:lineRule="auto"/>
        <w:jc w:val="both"/>
      </w:pPr>
      <w:r>
        <w:rPr>
          <w:rFonts w:ascii="Times New Roman" w:hAnsi="Times New Roman"/>
          <w:b/>
          <w:i w:val="0"/>
          <w:sz w:val="26"/>
        </w:rPr>
        <w:t>Unterrichtung nach Paragraf 613a Abs. 5 BGB - Betriebsuebergang ChainCortex AI GmbH (i. Ins.) auf Voracis Ventures GmbH zum 01.07.2026</w:t>
      </w:r>
    </w:p>
    <w:p>
      <w:pPr>
        <w:spacing w:after="60" w:before="120" w:line="259" w:lineRule="auto"/>
        <w:jc w:val="both"/>
      </w:pPr>
      <w:r>
        <w:rPr>
          <w:rFonts w:ascii="Times New Roman" w:hAnsi="Times New Roman"/>
          <w:b/>
          <w:i w:val="0"/>
          <w:sz w:val="22"/>
        </w:rPr>
        <w:t>Sehr geehrte Mitarbeiterin, sehr geehrter Mitarbeiter,</w:t>
      </w:r>
    </w:p>
    <w:p>
      <w:pPr>
        <w:spacing w:after="120" w:line="259" w:lineRule="auto"/>
        <w:jc w:val="both"/>
      </w:pPr>
      <w:r>
        <w:rPr>
          <w:rFonts w:ascii="Times New Roman" w:hAnsi="Times New Roman"/>
          <w:b w:val="0"/>
          <w:i w:val="0"/>
          <w:sz w:val="24"/>
        </w:rPr>
        <w:t>als Insolvenzverwalter ueber das Vermoegen der ChainCortex AI GmbH (AG Charlottenburg, Az. 36 IN 1342/26) unterrichte ich Sie gemaess Paragraf 613a Abs. 5 BGB ueber folgenden Sachverhalt:</w:t>
      </w:r>
    </w:p>
    <w:p>
      <w:pPr>
        <w:spacing w:after="80" w:line="259" w:lineRule="auto"/>
        <w:jc w:val="both"/>
      </w:pPr>
      <w:r>
        <w:rPr>
          <w:rFonts w:ascii="Times New Roman" w:hAnsi="Times New Roman"/>
          <w:b/>
          <w:i w:val="0"/>
          <w:sz w:val="24"/>
        </w:rPr>
        <w:t>1. Zeitpunkt des Uebergangs</w:t>
      </w:r>
    </w:p>
    <w:p>
      <w:pPr>
        <w:spacing w:after="120" w:line="259" w:lineRule="auto"/>
        <w:jc w:val="both"/>
      </w:pPr>
      <w:r>
        <w:rPr>
          <w:rFonts w:ascii="Times New Roman" w:hAnsi="Times New Roman"/>
          <w:b w:val="0"/>
          <w:i w:val="0"/>
          <w:sz w:val="24"/>
        </w:rPr>
        <w:t>Mit Wirkung zum 01.07.2026, 00:00 Uhr, geht der Betriebsteil, dem Ihr Arbeitsverhaeltnis organisatorisch zugeordnet ist, auf die Voracis Ventures GmbH, Kurfuerstendamm 188, 10707 Berlin, AG Charlottenburg HRB 245789 B (Geschaeftsfuehrerin Dr. Carlotta Hennings), ueber.</w:t>
      </w:r>
    </w:p>
    <w:p>
      <w:pPr>
        <w:spacing w:after="80" w:line="259" w:lineRule="auto"/>
        <w:jc w:val="both"/>
      </w:pPr>
      <w:r>
        <w:rPr>
          <w:rFonts w:ascii="Times New Roman" w:hAnsi="Times New Roman"/>
          <w:b/>
          <w:i w:val="0"/>
          <w:sz w:val="24"/>
        </w:rPr>
        <w:t>2. Grund des Uebergangs</w:t>
      </w:r>
    </w:p>
    <w:p>
      <w:pPr>
        <w:spacing w:after="120" w:line="259" w:lineRule="auto"/>
        <w:jc w:val="both"/>
      </w:pPr>
      <w:r>
        <w:rPr>
          <w:rFonts w:ascii="Times New Roman" w:hAnsi="Times New Roman"/>
          <w:b w:val="0"/>
          <w:i w:val="0"/>
          <w:sz w:val="24"/>
        </w:rPr>
        <w:t>Asset Deal aus eroeffnetem Insolvenzverfahren. Die Voracis Ventures GmbH erwirbt die wesentlichen immateriellen Vermoegensgegenstaende der Schuldnerin und fuehrt den Geschaeftsbetrieb (KI-/Compliance-Software fuer AML- und MiCAR-Compliance) am Standort Berlin fort.</w:t>
      </w:r>
    </w:p>
    <w:p>
      <w:pPr>
        <w:spacing w:after="80" w:line="259" w:lineRule="auto"/>
        <w:jc w:val="both"/>
      </w:pPr>
      <w:r>
        <w:rPr>
          <w:rFonts w:ascii="Times New Roman" w:hAnsi="Times New Roman"/>
          <w:b/>
          <w:i w:val="0"/>
          <w:sz w:val="24"/>
        </w:rPr>
        <w:t>3. Rechtliche, wirtschaftliche und soziale Folgen</w:t>
      </w:r>
    </w:p>
    <w:p>
      <w:pPr>
        <w:spacing w:after="120" w:line="259" w:lineRule="auto"/>
        <w:jc w:val="both"/>
      </w:pPr>
      <w:r>
        <w:rPr>
          <w:rFonts w:ascii="Times New Roman" w:hAnsi="Times New Roman"/>
          <w:b w:val="0"/>
          <w:i w:val="0"/>
          <w:sz w:val="24"/>
        </w:rPr>
        <w:t>Voracis tritt mit dem Uebergangsstichtag kraft Gesetzes (Paragraf 613a Abs. 1 Satz 1 BGB) in alle Rechte und Pflichten aus Ihrem bestehenden Arbeitsverhaeltnis ein. Ihre Betriebszugehoerigkeit wird ab Ihrem originaeren Eintrittsdatum bei der ChainCortex AI GmbH angerechnet. Ihre bisherigen Arbeitsbedingungen (Verguetung, Urlaubsanspruch, Arbeitszeit) bleiben unveraendert. Keine erneute Probezeit. Sozialversicherungsrechtlich laeuft die Beitragspflicht beim neuen Arbeitgeber nahtlos weiter.</w:t>
      </w:r>
    </w:p>
    <w:p>
      <w:pPr>
        <w:spacing w:after="80" w:line="259" w:lineRule="auto"/>
        <w:jc w:val="both"/>
      </w:pPr>
      <w:r>
        <w:rPr>
          <w:rFonts w:ascii="Times New Roman" w:hAnsi="Times New Roman"/>
          <w:b/>
          <w:i w:val="0"/>
          <w:sz w:val="24"/>
        </w:rPr>
        <w:t>4. In Aussicht genommene Massnahmen</w:t>
      </w:r>
    </w:p>
    <w:p>
      <w:pPr>
        <w:spacing w:after="120" w:line="259" w:lineRule="auto"/>
        <w:jc w:val="both"/>
      </w:pPr>
      <w:r>
        <w:rPr>
          <w:rFonts w:ascii="Times New Roman" w:hAnsi="Times New Roman"/>
          <w:b w:val="0"/>
          <w:i w:val="0"/>
          <w:sz w:val="24"/>
        </w:rPr>
        <w:t>Beibehaltung der Taetigkeit am Standort Berlin (Voracis-Raeume). Uebernahme der Arbeitsmittel (Notebook, Cloud-Accounts). Keine Versetzung, keine Veraenderung der Verguetungsstruktur in den ersten 12 Monaten.</w:t>
      </w:r>
    </w:p>
    <w:p>
      <w:pPr>
        <w:spacing w:after="80" w:line="259" w:lineRule="auto"/>
        <w:jc w:val="both"/>
      </w:pPr>
      <w:r>
        <w:rPr>
          <w:rFonts w:ascii="Times New Roman" w:hAnsi="Times New Roman"/>
          <w:b/>
          <w:i w:val="0"/>
          <w:sz w:val="24"/>
        </w:rPr>
        <w:t>5. Widerspruchsrecht nach Paragraf 613a Abs. 6 BGB</w:t>
      </w:r>
    </w:p>
    <w:p>
      <w:pPr>
        <w:spacing w:after="120" w:line="259" w:lineRule="auto"/>
        <w:jc w:val="both"/>
      </w:pPr>
      <w:r>
        <w:rPr>
          <w:rFonts w:ascii="Times New Roman" w:hAnsi="Times New Roman"/>
          <w:b w:val="0"/>
          <w:i w:val="0"/>
          <w:sz w:val="24"/>
        </w:rPr>
        <w:t>Sie koennen dem Uebergang innerhalb eines Monats nach Zugang dieser Unterrichtung schriftlich widersprechen. Adressat: RA Dr. Konrad Vorberg, Vorberg + Steinhausen Rechtsanwaelte mbB, Charlottenstrasse 65, 10117 Berlin. WICHTIGER HINWEIS: Bei wirksamem Widerspruch verbleibt das Arbeitsverhaeltnis bei der Insolvenzschuldnerin. Da der Betrieb nicht weitergefuehrt wird, ist mit einer betriebsbedingten Kuendigung nach Paragraf 113 InsO zum 31.10.2026 zu rechnen.</w:t>
      </w:r>
    </w:p>
    <w:p>
      <w:pPr>
        <w:spacing w:after="200" w:line="259" w:lineRule="auto"/>
        <w:jc w:val="both"/>
      </w:pPr>
      <w:r>
        <w:rPr>
          <w:rFonts w:ascii="Times New Roman" w:hAnsi="Times New Roman"/>
          <w:b w:val="0"/>
          <w:i w:val="0"/>
          <w:sz w:val="24"/>
        </w:rPr>
      </w:r>
    </w:p>
    <w:p>
      <w:pPr>
        <w:spacing w:after="120" w:line="259" w:lineRule="auto"/>
        <w:jc w:val="both"/>
      </w:pPr>
      <w:r>
        <w:rPr>
          <w:rFonts w:ascii="Times New Roman" w:hAnsi="Times New Roman"/>
          <w:b w:val="0"/>
          <w:i w:val="0"/>
          <w:sz w:val="24"/>
        </w:rPr>
        <w:t>Fuer Rueckfragen stehe ich Ihnen gern zur Verfuegung.</w:t>
      </w:r>
    </w:p>
    <w:p>
      <w:pPr>
        <w:spacing w:after="360" w:line="259" w:lineRule="auto"/>
        <w:jc w:val="both"/>
      </w:pPr>
      <w:r>
        <w:rPr>
          <w:rFonts w:ascii="Times New Roman" w:hAnsi="Times New Roman"/>
          <w:b w:val="0"/>
          <w:i w:val="0"/>
          <w:sz w:val="24"/>
        </w:rPr>
      </w:r>
    </w:p>
    <w:p>
      <w:pPr>
        <w:spacing w:after="120" w:line="259" w:lineRule="auto"/>
        <w:jc w:val="both"/>
      </w:pPr>
      <w:r>
        <w:rPr>
          <w:rFonts w:ascii="Times New Roman" w:hAnsi="Times New Roman"/>
          <w:b w:val="0"/>
          <w:i w:val="0"/>
          <w:sz w:val="24"/>
        </w:rPr>
        <w:t>Mit freundlichen Gruessen</w:t>
      </w:r>
    </w:p>
    <w:p>
      <w:pPr>
        <w:spacing w:after="280" w:line="259" w:lineRule="auto"/>
        <w:jc w:val="both"/>
      </w:pPr>
      <w:r>
        <w:rPr>
          <w:rFonts w:ascii="Times New Roman" w:hAnsi="Times New Roman"/>
          <w:b w:val="0"/>
          <w:i w:val="0"/>
          <w:sz w:val="24"/>
        </w:rPr>
      </w:r>
    </w:p>
    <w:p>
      <w:pPr>
        <w:spacing w:after="120" w:line="259" w:lineRule="auto"/>
        <w:jc w:val="both"/>
      </w:pPr>
      <w:r>
        <w:rPr>
          <w:rFonts w:ascii="Times New Roman" w:hAnsi="Times New Roman"/>
          <w:b w:val="0"/>
          <w:i w:val="0"/>
          <w:sz w:val="24"/>
        </w:rPr>
        <w:t>Dr. Konrad Vorberg</w:t>
      </w:r>
    </w:p>
    <w:p>
      <w:pPr>
        <w:spacing w:after="120" w:line="259" w:lineRule="auto"/>
        <w:jc w:val="both"/>
      </w:pPr>
      <w:r>
        <w:rPr>
          <w:rFonts w:ascii="Times New Roman" w:hAnsi="Times New Roman"/>
          <w:b w:val="0"/>
          <w:i w:val="0"/>
          <w:sz w:val="24"/>
        </w:rPr>
        <w:t>Insolvenzverwalter</w:t>
      </w:r>
    </w:p>
    <w:sectPr w:rsidR="00FC693F" w:rsidRPr="0006063C" w:rsidSect="00034616">
      <w:headerReference w:type="default" r:id="rId9"/>
      <w:footerReference w:type="default" r:id="rId10"/>
      <w:pgSz w:w="12240" w:h="15840"/>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