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w:t>
      </w:r>
    </w:p>
    <w:p>
      <w:pPr>
        <w:spacing w:line="259" w:lineRule="auto" w:after="60"/>
        <w:jc w:val="left"/>
      </w:pPr>
      <w:r>
        <w:rPr>
          <w:b/>
        </w:rPr>
        <w:t>Stollberg &amp; Partner Insolvenzverwaltung</w:t>
      </w:r>
      <w:r>
        <w:t xml:space="preserve"> · Rechtsanwältin Dr. Friederike Stollberg · Straße der Nationen 51 · 09111 Chemnitz</w:t>
      </w:r>
    </w:p>
    <w:p>
      <w:pPr>
        <w:spacing w:line="259" w:lineRule="auto" w:after="60"/>
        <w:jc w:val="left"/>
      </w:pPr>
      <w:r>
        <w:rPr>
          <w:rFonts w:ascii="Times New Roman" w:hAnsi="Times New Roman"/>
          <w:b w:val="0"/>
          <w:i w:val="0"/>
          <w:sz w:val="22"/>
        </w:rPr>
        <w:t>Aktenzeichen: 118/26 ST · Verfahren: Vellnitz Kunststofftechnik GmbH, AG Chemnitz 15 IN 388/26</w:t>
      </w:r>
    </w:p>
    <w:p>
      <w:pPr>
        <w:spacing w:before="120" w:after="60" w:line="259" w:lineRule="auto"/>
        <w:jc w:val="left"/>
      </w:pPr>
      <w:r>
        <w:rPr>
          <w:rFonts w:ascii="Times New Roman" w:hAnsi="Times New Roman"/>
          <w:b/>
          <w:sz w:val="22"/>
        </w:rPr>
        <w:t>Chemnitz, 8. Juni 2026</w:t>
      </w:r>
    </w:p>
    <w:p>
      <w:pPr>
        <w:spacing w:before="120" w:after="60" w:line="259" w:lineRule="auto"/>
        <w:jc w:val="left"/>
      </w:pPr>
      <w:r>
        <w:rPr>
          <w:rFonts w:ascii="Times New Roman" w:hAnsi="Times New Roman"/>
          <w:b/>
          <w:sz w:val="22"/>
        </w:rPr>
        <w:t>Verfasserin: Dr. Stollberg · Verteiler: Handakte Anfechtung Granova</w:t>
      </w:r>
    </w:p>
    <w:p>
      <w:pPr>
        <w:pStyle w:val="Heading2"/>
        <w:spacing w:before="120" w:after="60" w:line="259" w:lineRule="auto"/>
      </w:pPr>
      <w:r>
        <w:rPr>
          <w:rFonts w:ascii="Times New Roman" w:hAnsi="Times New Roman"/>
          <w:b/>
          <w:sz w:val="22"/>
        </w:rPr>
        <w:t>1 Gegenstand</w:t>
      </w:r>
    </w:p>
    <w:p>
      <w:pPr>
        <w:spacing w:line="259" w:lineRule="auto" w:after="60"/>
        <w:jc w:val="left"/>
      </w:pPr>
      <w:r>
        <w:t>Der Vermerk bereitet die Anfechtung der Zahlungen an die Granova Polymer Handels GmbH, Radebeul, vor. Das Verfahren über das Vermögen der Vellnitz Kunststofftechnik GmbH ist am 1. Juni 2026 eröffnet worden; ich bin zur Insolvenzverwalterin bestellt.</w:t>
      </w:r>
    </w:p>
    <w:p>
      <w:pPr>
        <w:pStyle w:val="Heading2"/>
        <w:spacing w:before="120" w:after="60" w:line="259" w:lineRule="auto"/>
      </w:pPr>
      <w:r>
        <w:rPr>
          <w:rFonts w:ascii="Times New Roman" w:hAnsi="Times New Roman"/>
          <w:b/>
          <w:sz w:val="22"/>
        </w:rPr>
        <w:t>2 Sachverhalt in Kurzform</w:t>
      </w:r>
    </w:p>
    <w:p>
      <w:pPr>
        <w:spacing w:line="259" w:lineRule="auto" w:after="60"/>
        <w:jc w:val="left"/>
      </w:pPr>
      <w:r>
        <w:t>2.1 Die Schuldnerin betrieb in Chemnitz eine Kunststoffspritzgießerei mit 34 Beschäftigten und bezog ihr Granulat seit 2023 nahezu ausschließlich von Granova auf Grundlage eines Rahmenliefervertrags mit einem Zahlungsziel von 60 Tagen. Mit Schreiben vom 5. November 2025 stellte Granova die Belieferung auf Vorkasse beziehungsweise Zahlung bei Lieferung um; Anlass waren offene Altforderungen von 96.413,80 EUR, eine Rücklastschrift vom 17. Oktober 2025 und die Streichung des Deckungslimits durch die Nordkredit Warenkreditversicherung AG.</w:t>
      </w:r>
    </w:p>
    <w:p>
      <w:pPr>
        <w:spacing w:line="259" w:lineRule="auto" w:after="60"/>
        <w:jc w:val="left"/>
      </w:pPr>
      <w:r>
        <w:t>2.2 Im Dreimonatszeitraum vor dem Eigenantrag vom 15. April 2026 hat die Schuldnerin an Granova vierzehn Vorkassezahlungen über insgesamt 214.000,08 EUR geleistet. Zwischen Zahlung und Lieferung lagen jeweils null bis fünf Tage (Aufstellung Aktenstück 06). Auf zwei Rechnungen (VK-2026-0214 und VK-2026-0233) hat Granova einen als „Risikozuschlag" bezeichneten Aufschlag von 4 Prozent auf den Listenpreis berechnet; die Aufschläge summieren sich auf 1.282,82 EUR brutto (Preisvergleich Aktenstück 07).</w:t>
      </w:r>
    </w:p>
    <w:p>
      <w:pPr>
        <w:spacing w:line="259" w:lineRule="auto" w:after="60"/>
        <w:jc w:val="left"/>
      </w:pPr>
      <w:r>
        <w:t>2.3 In den Unterlagen der Schuldnerin befindet sich ein Kurzgutachten der Feldkamp &amp; Cie. Restrukturierungsberatung GmbH vom 18. Juli 2025 (Aktenstück 04). Es stellt zum Stichtag 30. Juni 2025 den Eintritt der Zahlungsunfähigkeit fest: Auch unter Einbeziehung aller erwartbaren Zuflüsse über vier Wochen verblieb eine Deckungslücke von 33.6 Prozent. Der Eigenantrag der Geschäftsführerin datiert den Eintritt der Zahlungsunfähigkeit demgegenüber erst auf April 2026, nachdem die Genossenschaftsbank Erzgebirge eG die Betriebsmittellinie am 8. April 2026 gekündigt hatte. Die Diskrepanz beträgt gut neun Monate.</w:t>
      </w:r>
    </w:p>
    <w:p>
      <w:pPr>
        <w:pStyle w:val="Heading2"/>
        <w:spacing w:line="259" w:lineRule="auto" w:after="60"/>
      </w:pPr>
      <w:r>
        <w:rPr>
          <w:rFonts w:ascii="Times New Roman" w:hAnsi="Times New Roman"/>
        </w:rPr>
        <w:t>3 Anfechtungsrechtliche Arbeitsthesen</w:t>
      </w:r>
    </w:p>
    <w:p>
      <w:pPr>
        <w:spacing w:line="259" w:lineRule="auto" w:after="60"/>
        <w:jc w:val="left"/>
      </w:pPr>
      <w:r>
        <w:t>3.1 Die vierzehn Zahlungen unterfallen dem Grunde nach § 130 Abs. 1 Satz 1 Nr. 1 InsO (Zahlungsunfähigkeit seit Juni 2025; Kenntnisfrage offen) und § 133 Abs. 1 InsO. Granova wird sich auf das Bargeschäftsprivileg des § 142 Abs. 1 InsO berufen. Die Unmittelbarkeit des Leistungsaustauschs dürfte bei null bis fünf Tagen unproblematisch vorliegen. Angriffsflächen sind die Gleichwertigkeit (Krisenaufschlag auf zwei Rechnungen) und vor allem die Rückausnahme des § 142 Abs. 1 InsO: Die Vorsatzanfechtung bleibt möglich, wenn die Schuldnerin unlauter handelte und Granova dies erkannte.</w:t>
      </w:r>
    </w:p>
    <w:p>
      <w:pPr>
        <w:spacing w:line="259" w:lineRule="auto" w:after="60"/>
        <w:jc w:val="left"/>
      </w:pPr>
      <w:r>
        <w:t>3.2 Für die Unlauterkeit spricht, dass die Geschäftsführerin seit dem 18. Juli 2025 ein schriftliches Testat der eigenen Zahlungsunfähigkeit besaß, gleichwohl neun Monate weiterwirtschaftete und die verbliebene Liquidität gezielt auf die produktionskritischen Lieferanten konzentrierte, während Sozialversicherungsträger, Finanzamt und die übrigen Gläubiger unbedient blieben. Für die Kenntnis Granovas sprechen die Altforderungen, die Rücklastschrift, die Streichung des Versichererlimits und der Krisenaufschlag. Dagegen spricht, dass die Umstellung auf Vorkasse in der Krise branchenüblich ist und Granova auf ihren Altforderungen stillgehalten hat; beide Deutungen sind zu dokumentieren.</w:t>
      </w:r>
    </w:p>
    <w:p>
      <w:pPr>
        <w:spacing w:line="259" w:lineRule="auto" w:after="60"/>
        <w:jc w:val="left"/>
      </w:pPr>
      <w:r>
        <w:t>3.3 Die Kenntnis der Zahlungsunfähigkeit im Sinne des § 130 Abs. 2 InsO ist gesondert zu prüfen: Kannte Granova nur eine Zahlungsstockung gegenüber sich selbst oder Umstände, die zwingend auf die allgemeine Zahlungseinstellung schließen ließen?</w:t>
      </w:r>
    </w:p>
    <w:p>
      <w:pPr>
        <w:pStyle w:val="Heading2"/>
        <w:spacing w:line="259" w:lineRule="auto" w:after="60"/>
      </w:pPr>
      <w:r>
        <w:rPr>
          <w:rFonts w:ascii="Times New Roman" w:hAnsi="Times New Roman"/>
        </w:rPr>
        <w:t>4 Nächste Schritte</w:t>
      </w:r>
    </w:p>
    <w:p>
      <w:pPr>
        <w:spacing w:line="259" w:lineRule="auto" w:after="60"/>
        <w:jc w:val="left"/>
      </w:pPr>
      <w:r>
        <w:t>4.1 Anfechtungsschreiben mit Zahlungsaufforderung über 214.000,08 EUR, hilfsweise über die Aufschlagsbeträge von 1.282,82 EUR (erledigt mit Schreiben vom 17. Juni 2026, Aktenstück 10).</w:t>
      </w:r>
    </w:p>
    <w:p>
      <w:pPr>
        <w:spacing w:line="259" w:lineRule="auto" w:after="60"/>
        <w:jc w:val="left"/>
      </w:pPr>
      <w:r>
        <w:t>4.2 Prüfung von Ansprüchen gegen die Geschäftsführerin wegen verspäteter Antragstellung (§ 15a InsO, § 15b InsO); hierzu gesonderte Handakte.</w:t>
      </w:r>
    </w:p>
    <w:p>
      <w:pPr>
        <w:spacing w:line="259" w:lineRule="auto" w:after="60"/>
        <w:jc w:val="left"/>
      </w:pPr>
      <w:r>
        <w:t>4.3 Entscheidung über Klageerhebung vor dem Landgericht Chemnitz nach Eingang der Erwiderung.</w:t>
      </w:r>
    </w:p>
    <w:p>
      <w:pPr>
        <w:spacing w:line="259" w:lineRule="auto" w:after="60"/>
        <w:jc w:val="left"/>
      </w:pPr>
      <w:r>
        <w:t>Dr. Friederike Stollberg</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