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Anfechtungsschreiben der Insolvenzverwalterin</w:t>
      </w:r>
    </w:p>
    <w:p>
      <w:pPr>
        <w:spacing w:line="259" w:lineRule="auto" w:after="60"/>
        <w:jc w:val="left"/>
      </w:pPr>
      <w:r>
        <w:rPr>
          <w:b/>
        </w:rPr>
        <w:t>Stollberg &amp; Partner Insolvenzverwaltung</w:t>
      </w:r>
      <w:r>
        <w:t xml:space="preserve"> · Rechtsanwältin Dr. Friederike Stollberg · Straße der Nationen 51 · 09111 Chemnitz · Telefon 0371 66412-0</w:t>
      </w:r>
    </w:p>
    <w:p>
      <w:pPr>
        <w:spacing w:before="120" w:after="60" w:line="259" w:lineRule="auto"/>
        <w:jc w:val="left"/>
      </w:pPr>
      <w:r>
        <w:rPr>
          <w:rFonts w:ascii="Times New Roman" w:hAnsi="Times New Roman"/>
          <w:b w:val="0"/>
          <w:i w:val="0"/>
          <w:sz w:val="22"/>
        </w:rPr>
        <w:t>Aktenzeichen: 118/26 ST — bitte stets angeben</w:t>
      </w:r>
    </w:p>
    <w:p>
      <w:pPr>
        <w:spacing w:before="120" w:after="60" w:line="259" w:lineRule="auto"/>
        <w:jc w:val="left"/>
      </w:pPr>
      <w:r>
        <w:rPr>
          <w:rFonts w:ascii="Times New Roman" w:hAnsi="Times New Roman"/>
          <w:b/>
          <w:sz w:val="22"/>
        </w:rPr>
        <w:t>Chemnitz, den 17. Juni 2026</w:t>
      </w:r>
    </w:p>
    <w:p>
      <w:pPr>
        <w:spacing w:line="259" w:lineRule="auto" w:after="60"/>
        <w:jc w:val="left"/>
      </w:pPr>
      <w:r>
        <w:t>An die Granova Polymer Handels GmbH, — Geschäftsführung — Meißner Landstraße 18, 01445 Radebeul</w:t>
      </w:r>
    </w:p>
    <w:p>
      <w:pPr>
        <w:spacing w:line="259" w:lineRule="auto" w:after="60"/>
        <w:jc w:val="left"/>
      </w:pPr>
      <w:r>
        <w:t>Betreff: Insolvenzverfahren über das Vermögen der Vellnitz Kunststofftechnik GmbH, AG Chemnitz 15 IN 388/26 — Insolvenzanfechtung der Vorkassezahlungen vom 19. Januar 2026 bis 7. April 2026; Zahlungsaufforderung über 214.000,08 EUR</w:t>
      </w:r>
    </w:p>
    <w:p>
      <w:pPr>
        <w:spacing w:before="120" w:after="60" w:line="259" w:lineRule="auto"/>
        <w:jc w:val="left"/>
      </w:pPr>
      <w:r>
        <w:rPr>
          <w:rFonts w:ascii="Times New Roman" w:hAnsi="Times New Roman"/>
          <w:b/>
          <w:sz w:val="22"/>
        </w:rPr>
        <w:t>Sehr geehrte Damen und Herren,</w:t>
      </w:r>
    </w:p>
    <w:p>
      <w:pPr>
        <w:spacing w:line="259" w:lineRule="auto" w:after="60"/>
        <w:jc w:val="left"/>
      </w:pPr>
      <w:r>
        <w:t>in dem oben bezeichneten Insolvenzverfahren bin ich mit Beschluss des Amtsgerichts Chemnitz vom 1. Juni 2026 zur Insolvenzverwalterin bestellt worden. Ich erkläre hiermit die Anfechtung der nachfolgend bezeichneten Zahlungen nach §§ 129, 130, 133, 143 InsO und fordere Sie zur Rückgewähr auf.</w:t>
      </w:r>
    </w:p>
    <w:p>
      <w:pPr>
        <w:pStyle w:val="Heading2"/>
        <w:spacing w:line="259" w:lineRule="auto" w:after="60"/>
      </w:pPr>
      <w:r>
        <w:rPr>
          <w:rFonts w:ascii="Times New Roman" w:hAnsi="Times New Roman"/>
        </w:rPr>
        <w:t>1 Angefochtene Zahlungen</w:t>
      </w:r>
    </w:p>
    <w:p>
      <w:pPr>
        <w:spacing w:line="259" w:lineRule="auto" w:after="60"/>
        <w:jc w:val="left"/>
      </w:pPr>
      <w:r>
        <w:t>Die Schuldnerin hat in der Zeit vom 19. Januar 2026 bis zum 7. April 2026 — sämtlich innerhalb der letzten drei Monate vor dem Eröffnungsantrag vom 15. April 2026 — vierzehn Zahlungen über insgesamt 214.000,08 EUR an Sie geleistet. Die Einzelbeträge, Rechnungsnummern, Zahl- und Lieferdaten ergeben sich aus der beigefügten Aufstellung; sie beruht auf den Buchhaltungsunterlagen der Schuldnerin und Ihren Rechnungen. Auf die Rechnungen VK-2026-0214 und VK-2026-0233 haben Sie einen „Risikozuschlag" von 4 Prozent auf den Listenpreis berechnet; die Aufschläge betragen zusammen 1.282,82 EUR brutto.</w:t>
      </w:r>
    </w:p>
    <w:p>
      <w:pPr>
        <w:pStyle w:val="Heading2"/>
        <w:spacing w:line="259" w:lineRule="auto" w:after="60"/>
      </w:pPr>
      <w:r>
        <w:rPr>
          <w:rFonts w:ascii="Times New Roman" w:hAnsi="Times New Roman"/>
        </w:rPr>
        <w:t>2 Anfechtbarkeit nach § 130 Abs. 1 Satz 1 Nr. 1 InsO</w:t>
      </w:r>
    </w:p>
    <w:p>
      <w:pPr>
        <w:spacing w:line="259" w:lineRule="auto" w:after="60"/>
        <w:jc w:val="left"/>
      </w:pPr>
      <w:r>
        <w:t>2.1 Die Schuldnerin war im gesamten Zahlungszeitraum zahlungsunfähig. Bereits das im Auftrag der Schuldnerin erstellte Kurzgutachten der Feldkamp &amp; Cie. Restrukturierungsberatung GmbH vom 18. Juli 2025 stellt den Eintritt der Zahlungsunfähigkeit zum 30. Juni 2025 fest; die dort ausgewiesene Deckungslücke betrug auch unter Einbeziehung aller erwartbaren Zuflüsse 33.6 Prozent. Die Lücke wurde bis zur Antragstellung nicht geschlossen.</w:t>
      </w:r>
    </w:p>
    <w:p>
      <w:pPr>
        <w:spacing w:line="259" w:lineRule="auto" w:after="60"/>
        <w:jc w:val="left"/>
      </w:pPr>
      <w:r>
        <w:t>2.2 Ihre Kenntnis der Zahlungsunfähigkeit ergibt sich aus den Umständen, die Ihnen bekannt waren (§ 130 Abs. 2 InsO): offene Altforderungen von 96.413,80 EUR, davon Teile in dritter Mahnstufe; die Rücklastschrift vom 17. Oktober 2025; die vollständige Streichung des Deckungslimits durch die Nordkredit Warenkreditversicherung AG; die von Ihnen selbst verlangte Umstellung eines seit Jahren eingespielten 60-Tage-Ziels auf Vorkasse; schließlich der Krisenaufschlag, den Sie ausweislich der E-Mail Ihres Vertriebsleiters vom 2. Februar 2026 gerade mit dem Ausfallrisiko Ihres Hauses begründet haben. Wer seinem Kunden nur noch gegen Vorkasse mit Risikoprämie liefert und zugleich fällige Altforderungen von knapp 100.000,00 EUR nicht durchsetzen kann, kennt Umstände, die zwingend auf die Zahlungsunfähigkeit schließen lassen.</w:t>
      </w:r>
    </w:p>
    <w:p>
      <w:pPr>
        <w:pStyle w:val="Heading2"/>
        <w:spacing w:line="259" w:lineRule="auto" w:after="60"/>
      </w:pPr>
      <w:r>
        <w:rPr>
          <w:rFonts w:ascii="Times New Roman" w:hAnsi="Times New Roman"/>
        </w:rPr>
        <w:t>3 Kein Bargeschäftsprivileg nach § 142 InsO</w:t>
      </w:r>
    </w:p>
    <w:p>
      <w:pPr>
        <w:spacing w:line="259" w:lineRule="auto" w:after="60"/>
        <w:jc w:val="left"/>
      </w:pPr>
      <w:r>
        <w:t>3.1 Ich gehe davon aus, dass Sie sich auf § 142 Abs. 1 InsO berufen werden. Das Privileg trägt hier aus zwei Gründen nicht in vollem Umfang.</w:t>
      </w:r>
    </w:p>
    <w:p>
      <w:pPr>
        <w:spacing w:line="259" w:lineRule="auto" w:after="60"/>
        <w:jc w:val="left"/>
      </w:pPr>
      <w:r>
        <w:t>3.2 Es fehlt teilweise an der Gleichwertigkeit der Gegenleistung. Für die Rechnungen VK-2026-0214 und VK-2026-0233 haben Sie einen Aufschlag von 4 Prozent auf den Listenpreis berechnet, der weder durch die Marktnotierungen — die beigefügte Vergleichsaufstellung weist für PA6 GF30 im ersten Quartal 2026 eine Marktnotierung von 2,44 EUR je Kilogramm gegenüber Ihrem berechneten Preis von 2,52 EUR aus — noch durch eine zusätzliche Leistung gedeckt war. In Höhe des Aufschlags von 1.282,82 EUR hat die Schuldnerin keine gleichwertige Gegenleistung erhalten; insoweit scheidet ein Bargeschäft von vornherein aus.</w:t>
      </w:r>
    </w:p>
    <w:p>
      <w:pPr>
        <w:spacing w:line="259" w:lineRule="auto" w:after="60"/>
        <w:jc w:val="left"/>
      </w:pPr>
      <w:r>
        <w:t>3.3 Unabhängig davon bleibt die Anfechtung nach § 133 Abs. 1 bis 3 InsO gemäß § 142 Abs. 1 InsO möglich, weil die Schuldnerin unlauter handelte und Sie dies erkannt haben. Die Geschäftsführerin verfügte seit dem 18. Juli 2025 über ein schriftliches Gutachten, das ihr die eingetretene Zahlungsunfähigkeit und die Antragspflicht des § 15a InsO bescheinigte. Gleichwohl hat sie den Geschäftsbetrieb neun Monate fortgeführt und die verbliebene Liquidität planmäßig auf die wenigen produktionskritischen Lieferanten — allen voran Ihr Haus — gelenkt, während Finanzamt, Sozialversicherungsträger und die übrigen Gläubiger leer ausgingen. Ein Schuldner, der in Kenntnis der eigenen Insolvenzreife gezielt einzelne Gläubiger vollständig befriedigt, um das Unternehmen unter Verdrängung der Antragspflicht fortzuführen, handelt unlauter. Sie haben diese Lage erkannt und für sich genutzt: Ihr Umstellungsschreiben vom 5. November 2025 hebt selbst hervor, dass Ihre Granulate für die laufende Produktion „kurzfristig nicht substituierbar" sind, und Ihr Krisenaufschlag bepreist exakt das Insolvenzrisiko, dessen Verwirklichung Sie vorhersahen.</w:t>
      </w:r>
    </w:p>
    <w:p>
      <w:pPr>
        <w:spacing w:line="259" w:lineRule="auto" w:after="60"/>
        <w:jc w:val="left"/>
      </w:pPr>
      <w:r>
        <w:t>3.4 Der Benachteiligungsvorsatz der Schuldnerin und Ihre Kenntnis hiervon (§ 133 Abs. 1 Satz 2 InsO) folgen aus denselben Umständen: Die Schuldnerin wusste um ihre Zahlungsunfähigkeit und wusste, dass jede Vorkassezahlung an Sie die für die Gesamtheit der Gläubiger verfügbare Masse endgültig schmälerte.</w:t>
      </w:r>
    </w:p>
    <w:p>
      <w:pPr>
        <w:pStyle w:val="Heading2"/>
        <w:spacing w:line="259" w:lineRule="auto" w:after="60"/>
      </w:pPr>
      <w:r>
        <w:rPr>
          <w:rFonts w:ascii="Times New Roman" w:hAnsi="Times New Roman"/>
        </w:rPr>
        <w:t>4 Rechtsfolge und Zahlungsaufforderung</w:t>
      </w:r>
    </w:p>
    <w:p>
      <w:pPr>
        <w:spacing w:line="259" w:lineRule="auto" w:after="60"/>
        <w:jc w:val="left"/>
      </w:pPr>
      <w:r>
        <w:t xml:space="preserve">Nach § 143 Abs. 1 InsO fordere ich Sie auf, </w:t>
      </w:r>
      <w:r>
        <w:rPr>
          <w:b/>
        </w:rPr>
        <w:t>214.000,08 EUR</w:t>
      </w:r>
      <w:r>
        <w:t xml:space="preserve"> nebst Zinsen in Höhe von fünf Prozentpunkten über dem Basiszinssatz seit dem 1. Juni 2026 bis zum </w:t>
      </w:r>
      <w:r>
        <w:rPr>
          <w:b/>
        </w:rPr>
        <w:t>8. Juli 2026</w:t>
      </w:r>
      <w:r>
        <w:t xml:space="preserve"> auf das Anderkonto der Insolvenzverwaltung, IBAN DE89 8705 0000 0710 3388 26 bei der Landesbank Sachsen-Mitte, zu zahlen. Höchst hilfsweise — für den Fall, dass sich das Bargeschäftsprivileg im Übrigen als durchgreifend erweisen sollte — fordere ich die Rückgewähr der nicht durch eine gleichwertige Gegenleistung gedeckten Aufschläge von </w:t>
      </w:r>
      <w:r>
        <w:rPr>
          <w:b/>
        </w:rPr>
        <w:t>1.282,82 EUR</w:t>
      </w:r>
      <w:r>
        <w:t>.</w:t>
      </w:r>
    </w:p>
    <w:p>
      <w:pPr>
        <w:spacing w:line="259" w:lineRule="auto" w:after="60"/>
        <w:jc w:val="left"/>
      </w:pPr>
      <w:r>
        <w:t>Nach fruchtlosem Fristablauf werde ich Klage vor dem Landgericht Chemnitz erheben. Ihre zur Tabelle angemeldeten Altforderungen von 96.413,80 EUR bleiben von dieser Anfechtung unberührt; auf § 144 InsO weise ich vorsorglich hin.</w:t>
      </w:r>
    </w:p>
    <w:p>
      <w:pPr>
        <w:spacing w:line="259" w:lineRule="auto" w:after="60"/>
        <w:jc w:val="left"/>
      </w:pPr>
      <w:r>
        <w:t>Mit freundlichen Grüßen</w:t>
      </w:r>
    </w:p>
    <w:p>
      <w:pPr>
        <w:spacing w:line="259" w:lineRule="auto" w:after="60"/>
        <w:jc w:val="left"/>
      </w:pPr>
      <w:r>
        <w:t>Dr. Friederike Stollberg</w:t>
      </w:r>
    </w:p>
    <w:p>
      <w:pPr>
        <w:spacing w:line="259" w:lineRule="auto" w:after="60"/>
        <w:jc w:val="left"/>
      </w:pPr>
      <w:r>
        <w:t>Rechtsanwältin, Insolvenzverwalterin</w:t>
      </w:r>
    </w:p>
    <w:p>
      <w:pPr>
        <w:spacing w:line="259" w:lineRule="auto" w:after="60"/>
        <w:jc w:val="left"/>
      </w:pPr>
      <w:r>
        <w:t>Anlagen: Aufstellung der vierzehn Zahlungen mit Rechnungs-, Zahl- und Lieferdaten; Preis- und Marktnotierungsvergleich erstes Quartal 2026</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