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auf das Anfechtungsschreiben vom 17. Juni 2026</w:t>
      </w:r>
    </w:p>
    <w:p>
      <w:pPr>
        <w:spacing w:line="259" w:lineRule="auto" w:after="60"/>
        <w:jc w:val="left"/>
      </w:pPr>
      <w:r>
        <w:rPr>
          <w:b/>
        </w:rPr>
        <w:t>Rechtsanwalt Dr. Lennart Hüsgen</w:t>
      </w:r>
      <w:r>
        <w:t xml:space="preserve"> · Fachanwalt für Insolvenz- und Sanierungsrecht · Altmarkt 9 · 01067 Dresden · Telefon 0351 48219-0</w:t>
      </w:r>
    </w:p>
    <w:p>
      <w:pPr>
        <w:spacing w:before="120" w:after="60" w:line="259" w:lineRule="auto"/>
        <w:jc w:val="left"/>
      </w:pPr>
      <w:r>
        <w:rPr>
          <w:rFonts w:ascii="Times New Roman" w:hAnsi="Times New Roman"/>
          <w:b/>
          <w:sz w:val="22"/>
        </w:rPr>
        <w:t>Unser Zeichen: 411/26 HÜ · Ihr Zeichen: 118/26 ST</w:t>
      </w:r>
    </w:p>
    <w:p>
      <w:pPr>
        <w:spacing w:before="120" w:after="60" w:line="259" w:lineRule="auto"/>
        <w:jc w:val="left"/>
      </w:pPr>
      <w:r>
        <w:rPr>
          <w:rFonts w:ascii="Times New Roman" w:hAnsi="Times New Roman"/>
          <w:b/>
          <w:sz w:val="22"/>
        </w:rPr>
        <w:t>Dresden, den 30. Juni 2026</w:t>
      </w:r>
    </w:p>
    <w:p>
      <w:pPr>
        <w:spacing w:line="259" w:lineRule="auto" w:after="60"/>
        <w:jc w:val="left"/>
      </w:pPr>
      <w:r>
        <w:t>An Frau Rechtsanwältin Dr. Friederike Stollberg — Insolvenzverwalterin über das Vermögen der Vellnitz Kunststofftechnik GmbH — Straße der Nationen 51, 09111 Chemnitz</w:t>
      </w:r>
    </w:p>
    <w:p>
      <w:pPr>
        <w:spacing w:line="259" w:lineRule="auto" w:after="60"/>
        <w:jc w:val="left"/>
      </w:pPr>
      <w:r>
        <w:t>Betreff: Insolvenzverfahren Vellnitz Kunststofftechnik GmbH, AG Chemnitz 15 IN 388/26 — Ihre Anfechtung vom 17. Juni 2026</w:t>
      </w:r>
    </w:p>
    <w:p>
      <w:pPr>
        <w:spacing w:before="120" w:after="60" w:line="259" w:lineRule="auto"/>
        <w:jc w:val="left"/>
      </w:pPr>
      <w:r>
        <w:rPr>
          <w:rFonts w:ascii="Times New Roman" w:hAnsi="Times New Roman"/>
          <w:b/>
          <w:sz w:val="22"/>
        </w:rPr>
        <w:t>Sehr geehrte Frau Kollegin Dr. Stollberg,</w:t>
      </w:r>
    </w:p>
    <w:p>
      <w:pPr>
        <w:spacing w:line="259" w:lineRule="auto" w:after="60"/>
        <w:jc w:val="left"/>
      </w:pPr>
      <w:r>
        <w:t>ich zeige die Vertretung der Granova Polymer Handels GmbH an; ordnungsgemäße Bevollmächtigung wird anwaltlich versichert. Die geltend gemachten Ansprüche bestehen nicht. Meine Mandantin wird weder 214.000,08 EUR noch den hilfsweise geforderten Betrag zahlen.</w:t>
      </w:r>
    </w:p>
    <w:p>
      <w:pPr>
        <w:pStyle w:val="Heading2"/>
        <w:spacing w:line="259" w:lineRule="auto" w:after="60"/>
      </w:pPr>
      <w:r>
        <w:rPr>
          <w:rFonts w:ascii="Times New Roman" w:hAnsi="Times New Roman"/>
        </w:rPr>
        <w:t>1 Bargeschäft nach § 142 Abs. 1 InsO</w:t>
      </w:r>
    </w:p>
    <w:p>
      <w:pPr>
        <w:spacing w:line="259" w:lineRule="auto" w:after="60"/>
        <w:jc w:val="left"/>
      </w:pPr>
      <w:r>
        <w:t>1.1 Sämtliche vierzehn Zahlungen sind privilegierte Bargeschäfte. Für jede Zahlung ist der Schuldnerin unmittelbar eine gleichwertige Gegenleistung zugeflossen: Granulat zu Marktpreisen, geliefert null bis fünf Tage nach Zahlungseingang. Ihre eigene Aufstellung belegt den engen zeitlichen Zusammenhang; die Spanne liegt weit innerhalb dessen, was nach der Verkehrsanschauung bei Handelsgeschäften über Rohstoffe (§ 142 Abs. 2 Satz 1 InsO) als unmittelbarer Austausch gilt. Die Masse wurde nicht verkürzt, sondern erhielt Zug um Zug verwertbares Material, das die Schuldnerin unstreitig verarbeitet und weiterveräußert hat — mit Deckungsbeiträgen, die der Masse zugutegekommen sind.</w:t>
      </w:r>
    </w:p>
    <w:p>
      <w:pPr>
        <w:spacing w:line="259" w:lineRule="auto" w:after="60"/>
        <w:jc w:val="left"/>
      </w:pPr>
      <w:r>
        <w:t>1.2 Die Gegenleistung war auch gleichwertig. Der beigefügte, von Ihnen selbst vorgelegte Marktvergleich weist für fünf von sieben Positionen Preise aus, die auf oder unter der Marktnotierung liegen. Der Zuschlag von 4 Prozent auf zwei Rechnungen ändert an der Gleichwertigkeit nichts: Er glich den Wegfall des Skontos, die Vorhaltung von Sicherheitsbeständen für kurzfristige Abrufe und die gestiegenen Vorfinanzierungskosten meiner Mandantin aus, die ohne Versicherungsdeckung das volle Beschaffungsrisiko trug. Eine Abweichung von 3.3 Prozent von einer Indexnotierung, die selbst nur eine Bandbreite abbildet, liegt innerhalb der marktüblichen Streuung; Gleichwertigkeit verlangt keinen centgenauen Indexpreis. Nur vorsorglich: Selbst wenn man dies anders sähe, wäre allenfalls der Aufschlag von 1.282,82 EUR anfechtbar, nicht die Zahlungen insgesamt.</w:t>
      </w:r>
    </w:p>
    <w:p>
      <w:pPr>
        <w:pStyle w:val="Heading2"/>
        <w:spacing w:line="259" w:lineRule="auto" w:after="60"/>
      </w:pPr>
      <w:r>
        <w:rPr>
          <w:rFonts w:ascii="Times New Roman" w:hAnsi="Times New Roman"/>
        </w:rPr>
        <w:t>2 Keine Anfechtung nach § 130 InsO</w:t>
      </w:r>
    </w:p>
    <w:p>
      <w:pPr>
        <w:spacing w:line="259" w:lineRule="auto" w:after="60"/>
        <w:jc w:val="left"/>
      </w:pPr>
      <w:r>
        <w:t>Bargeschäfte nach § 142 Abs. 1 InsO sind der Deckungsanfechtung entzogen; auf die Kenntnisfrage kommt es insoweit nicht an. Unabhängig davon kannte meine Mandantin weder die Zahlungsunfähigkeit noch Umstände, die zwingend auf sie schließen ließen. Sie kannte einen Zahlungsverzug gegenüber sich selbst und die Entscheidung eines Warenkreditversicherers, die auf einer eigenständigen, meiner Mandantin nicht offengelegten Risikobewertung beruhte. Die Umstellung auf Vorkasse bei Zahlungsverzug ist im Rohstoffhandel ein alltäglicher, vertraglich vorbehaltener Vorgang (Ziffer 4 des Rahmenliefervertrags) und gerade Ausdruck dessen, dass der Lieferant die künftige Entwicklung nicht kennt, sondern sich gegen sie absichert. Das interne Kurzgutachten vom 18. Juli 2025 war meiner Mandantin bis zu Ihrem Schreiben vollständig unbekannt.</w:t>
      </w:r>
    </w:p>
    <w:p>
      <w:pPr>
        <w:pStyle w:val="Heading2"/>
        <w:spacing w:line="259" w:lineRule="auto" w:after="60"/>
      </w:pPr>
      <w:r>
        <w:rPr>
          <w:rFonts w:ascii="Times New Roman" w:hAnsi="Times New Roman"/>
        </w:rPr>
        <w:t>3 Keine Unlauterkeit im Sinne des § 142 Abs. 1 InsO</w:t>
      </w:r>
    </w:p>
    <w:p>
      <w:pPr>
        <w:spacing w:line="259" w:lineRule="auto" w:after="60"/>
        <w:jc w:val="left"/>
      </w:pPr>
      <w:r>
        <w:t>3.1 Die Rückausnahme des § 142 Abs. 1 InsO verlangt zweierlei: unlauteres Handeln der Schuldnerin und dessen Erkennen durch den Gläubiger. Beides fehlt.</w:t>
      </w:r>
    </w:p>
    <w:p>
      <w:pPr>
        <w:spacing w:line="259" w:lineRule="auto" w:after="60"/>
        <w:jc w:val="left"/>
      </w:pPr>
      <w:r>
        <w:t>3.2 Ein Schuldner, der in der Krise Rohstoffe gegen sofortige, gleichwertige Bezahlung einkauft, um seine Produktion und damit den Unternehmenswert zu erhalten, handelt nicht unlauter, sondern tut genau das, was auch ein vorläufiger Verwalter getan hätte: Er sichert die Fortführung gegen Bargeschäfte. Unlauterkeit setzt mehr voraus als die Fortführung des Betriebs trotz Insolvenzreife — etwa das gezielte Beiseiteschaffen von Vermögen oder die Befriedigung eines Gläubigers gerade in Schädigungsabsicht. Dafür trägt Ihre Anfechtung nichts vor; die Behauptung einer „planmäßigen Lenkung" der Liquidität beschreibt nur die betriebswirtschaftliche Selbstverständlichkeit, dass produktionsnotwendige Lieferanten vorrangig bar bezahlt werden müssen, wenn niemand mehr Kredit gibt.</w:t>
      </w:r>
    </w:p>
    <w:p>
      <w:pPr>
        <w:spacing w:line="259" w:lineRule="auto" w:after="60"/>
        <w:jc w:val="left"/>
      </w:pPr>
      <w:r>
        <w:t>3.3 Jedenfalls hat meine Mandantin eine etwaige Unlauterkeit nicht erkannt. Sie kannte weder das Gutachten noch die Rückstände der Schuldnerin bei Finanzamt und Sozialversicherung. Gegen die von Ihnen behauptete Kenntnis spricht schließlich ihr eigenes Verhalten: Meine Mandantin ist mit Altforderungen von 96.413,80 EUR ausgefallen, die sie bis zuletzt stehen ließ, statt sie — was bei erkannter Insolvenzreife nahegelegen hätte — mit den Vorkassezahlungen zu verrechnen oder gerichtlich durchzusetzen. Wer die Insolvenz seines Kunden kommen sieht, lässt keine 96.000,00 EUR ungesichert stehen.</w:t>
      </w:r>
    </w:p>
    <w:p>
      <w:pPr>
        <w:pStyle w:val="Heading2"/>
        <w:spacing w:line="259" w:lineRule="auto" w:after="60"/>
      </w:pPr>
      <w:r>
        <w:rPr>
          <w:rFonts w:ascii="Times New Roman" w:hAnsi="Times New Roman"/>
        </w:rPr>
        <w:t>4 Ergebnis</w:t>
      </w:r>
    </w:p>
    <w:p>
      <w:pPr>
        <w:spacing w:line="259" w:lineRule="auto" w:after="60"/>
        <w:jc w:val="left"/>
      </w:pPr>
      <w:r>
        <w:t>Die Anfechtung ist unbegründet. Sollten Sie Klage erheben, wird sich meine Mandantin verteidigen und widerklagend die Feststellung ihrer zur Tabelle angemeldeten Forderungen weiterverfolgen. Zu einem Gespräch über eine pauschale Erledigung — ohne Anerkennung einer Rechtspflicht und ausschließlich zur Vermeidung von Prozesskosten — bin ich bereit.</w:t>
      </w:r>
    </w:p>
    <w:p>
      <w:pPr>
        <w:spacing w:line="259" w:lineRule="auto" w:after="60"/>
        <w:jc w:val="left"/>
      </w:pPr>
      <w:r>
        <w:t>Mit freundlichen kollegialen Grüßen</w:t>
      </w:r>
    </w:p>
    <w:p>
      <w:pPr>
        <w:spacing w:line="259" w:lineRule="auto" w:after="60"/>
        <w:jc w:val="left"/>
      </w:pPr>
      <w:r>
        <w:t>Dr. Lennart Hüsgen</w:t>
      </w:r>
    </w:p>
    <w:p>
      <w:pPr>
        <w:spacing w:line="259" w:lineRule="auto" w:after="60"/>
        <w:jc w:val="left"/>
      </w:pPr>
      <w:r>
        <w:t>Rechtsanwalt</w:t>
      </w:r>
    </w:p>
    <w:p>
      <w:pPr>
        <w:spacing w:line="259" w:lineRule="auto" w:after="60"/>
        <w:jc w:val="left"/>
      </w:pPr>
      <w:r>
        <w:t>Anlage: Interner Vermerk der Granova Polymer Handels GmbH vom 3. November 2025 zur Kreditentscheidung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