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Gesellschafterliste der Donaupart Präzisionstechnik GmbH</w:t>
      </w:r>
    </w:p>
    <w:p>
      <w:pPr>
        <w:spacing w:line="259" w:lineRule="auto" w:after="60"/>
        <w:jc w:val="left"/>
      </w:pPr>
      <w:r>
        <w:rPr>
          <w:b/>
        </w:rPr>
        <w:t>Zum Handelsregister des Amtsgerichts Regensburg, HRB 12894, eingereichte Liste der Gesellschafter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Aufgestellt gemäß § 40 GmbHG durch den Geschäftsführer Stefan Obermeier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Regensburg, 15.03.2022 (letzter Stand; seither unverändert laut Registerordner)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1 Gesellschafter und Geschäftsanteile</w:t>
      </w:r>
    </w:p>
    <w:p>
      <w:pPr>
        <w:spacing w:line="259" w:lineRule="auto" w:after="60"/>
        <w:jc w:val="left"/>
      </w:pPr>
      <w:r>
        <w:t>Stammkapital der Gesellschaft: 500.000,00 EUR, eingeteilt in 500.000 Geschäftsanteile zu je 1,00 EUR.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1.1 AVR Automotive Beteiligungs GmbH</w:t>
      </w:r>
    </w:p>
    <w:p>
      <w:pPr>
        <w:spacing w:line="259" w:lineRule="auto" w:after="60"/>
        <w:jc w:val="left"/>
      </w:pPr>
      <w:r>
        <w:t xml:space="preserve">AVR Automotive Beteiligungs GmbH, Sitz Regensburg, eingetragen im Handelsregister des Amtsgerichts Regensburg unter HRB 9317, Geschäftsanschrift Prüfeninger Straße 89, 93049 Regensburg. Geschäftsanteile Nr. 1 bis Nr. 460.000 mit Nennbeträgen von je 1,00 EUR, zusammen 460.000,00 EUR. </w:t>
      </w:r>
      <w:r>
        <w:rPr>
          <w:b/>
        </w:rPr>
        <w:t>Beteiligung am Stammkapital: 92,0 Prozent.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1.2 Dipl.-Ing. Werner Kastl</w:t>
      </w:r>
    </w:p>
    <w:p>
      <w:pPr>
        <w:spacing w:line="259" w:lineRule="auto" w:after="60"/>
        <w:jc w:val="left"/>
      </w:pPr>
      <w:r>
        <w:t xml:space="preserve">Dipl.-Ing. Werner Kastl, geboren am 27.09.1963, wohnhaft Lappersdorfer Straße 12, 93059 Regensburg. Geschäftsanteile Nr. 460.001 bis Nr. 500.000 mit Nennbeträgen von je 1,00 EUR, zusammen 40.000,00 EUR. </w:t>
      </w:r>
      <w:r>
        <w:rPr>
          <w:b/>
        </w:rPr>
        <w:t>Beteiligung am Stammkapital: 8,0 Prozent.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 Hinweise</w:t>
      </w:r>
    </w:p>
    <w:p>
      <w:pPr>
        <w:spacing w:line="259" w:lineRule="auto" w:after="60"/>
        <w:jc w:val="left"/>
      </w:pPr>
      <w:r>
        <w:t>Herr Kastl war bis zum 31.12.2021 als technischer Leiter bei der Gesellschaft angestellt; er ist seit seinem Ausscheiden aus dem Anstellungsverhältnis weder Geschäftsführer noch Prokurist der Gesellschaft und nimmt nach den vorliegenden Protokollen an Gesellschafterversammlungen ohne weitergehende Sonderrechte teil. Stimmbindungs- oder Konsortialvereinbarungen sind aus dem Registerordner nicht ersichtlich.</w:t>
      </w:r>
    </w:p>
    <w:p>
      <w:pPr>
        <w:spacing w:line="259" w:lineRule="auto" w:after="60"/>
        <w:jc w:val="left"/>
      </w:pPr>
      <w:r>
        <w:t>Regensburg, den 15.03.2022</w:t>
      </w:r>
    </w:p>
    <w:p>
      <w:pPr>
        <w:spacing w:line="259" w:lineRule="auto" w:after="60"/>
        <w:jc w:val="left"/>
      </w:pPr>
      <w:r>
        <w:t>Stefan Obermeier, Geschäftsführer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