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59" w:lineRule="auto" w:after="60"/>
      </w:pPr>
      <w:r>
        <w:rPr>
          <w:rFonts w:ascii="Times New Roman" w:hAnsi="Times New Roman"/>
        </w:rPr>
        <w:t>Treasury-Memo der AVR Automotive Beteiligungs GmbH zur Lage der Donaupart Präzisionstechnik GmbH</w:t>
      </w:r>
    </w:p>
    <w:p>
      <w:pPr>
        <w:spacing w:before="120" w:after="60" w:line="259" w:lineRule="auto"/>
        <w:jc w:val="left"/>
      </w:pPr>
      <w:r>
        <w:rPr>
          <w:rFonts w:ascii="Times New Roman" w:hAnsi="Times New Roman"/>
          <w:b/>
          <w:sz w:val="22"/>
        </w:rPr>
        <w:t>AVR Automotive Beteiligungs GmbH — Konzern-Treasury</w:t>
      </w:r>
    </w:p>
    <w:p>
      <w:pPr>
        <w:spacing w:before="120" w:after="60" w:line="259" w:lineRule="auto"/>
        <w:jc w:val="left"/>
      </w:pPr>
      <w:r>
        <w:rPr>
          <w:rFonts w:ascii="Times New Roman" w:hAnsi="Times New Roman"/>
          <w:b/>
          <w:sz w:val="22"/>
        </w:rPr>
        <w:t>Prüfeninger Straße 89, 93049 Regensburg</w:t>
      </w:r>
    </w:p>
    <w:p>
      <w:pPr>
        <w:spacing w:before="120" w:after="60" w:line="259" w:lineRule="auto"/>
        <w:jc w:val="left"/>
      </w:pPr>
      <w:r>
        <w:rPr>
          <w:rFonts w:ascii="Times New Roman" w:hAnsi="Times New Roman"/>
          <w:b/>
          <w:sz w:val="22"/>
        </w:rPr>
        <w:t>Internes Memo — vertraulich</w:t>
      </w:r>
    </w:p>
    <w:p>
      <w:pPr>
        <w:spacing w:line="259" w:lineRule="auto" w:after="60"/>
        <w:jc w:val="left"/>
      </w:pPr>
      <w:r>
        <w:t>Verfasser: Falk Neurieder (Leiter Konzern-Treasury) — Verteiler: Dr. Wenng (CFO), Hr. Obermeier (GF Donaupart, nachrichtlich)</w:t>
      </w:r>
    </w:p>
    <w:p>
      <w:pPr>
        <w:spacing w:before="120" w:after="60" w:line="259" w:lineRule="auto"/>
        <w:jc w:val="left"/>
      </w:pPr>
      <w:r>
        <w:rPr>
          <w:rFonts w:ascii="Times New Roman" w:hAnsi="Times New Roman"/>
          <w:b/>
          <w:sz w:val="22"/>
        </w:rPr>
        <w:t>Regensburg, 31.03.2025</w:t>
      </w:r>
    </w:p>
    <w:p>
      <w:pPr>
        <w:spacing w:line="259" w:lineRule="auto" w:after="60"/>
        <w:jc w:val="left"/>
      </w:pPr>
      <w:r>
        <w:rPr>
          <w:b/>
        </w:rPr>
        <w:t>Betreff: Donaupart — Reporting Februar/März 2025, Covenant-Bruch, Einordnung nach Konzern-Richtlinie Krisenfrüherkennung</w:t>
      </w:r>
    </w:p>
    <w:p>
      <w:pPr>
        <w:pStyle w:val="Heading2"/>
        <w:spacing w:before="120" w:after="60" w:line="259" w:lineRule="auto"/>
      </w:pPr>
      <w:r>
        <w:rPr>
          <w:rFonts w:ascii="Times New Roman" w:hAnsi="Times New Roman"/>
          <w:b/>
          <w:sz w:val="22"/>
        </w:rPr>
        <w:t>1 Befund aus dem Reporting</w:t>
      </w:r>
    </w:p>
    <w:p>
      <w:pPr>
        <w:spacing w:line="259" w:lineRule="auto" w:after="60"/>
        <w:jc w:val="left"/>
      </w:pPr>
      <w:r>
        <w:t xml:space="preserve">Das Monatsreporting der Donaupart zeigt zum 28.02.2025 ein bilanzielles Eigenkapital von noch 145 TEUR und zum 07.03.2025 erstmals ein </w:t>
      </w:r>
      <w:r>
        <w:rPr>
          <w:b/>
        </w:rPr>
        <w:t>negatives bilanzielles Eigenkapital von minus 85 TEUR</w:t>
      </w:r>
      <w:r>
        <w:t xml:space="preserve">; Ursache sind die Abrufkürzungen der beiden großen OEM-Programme (minus 38 Prozent gegenüber Plan) und die Abwertung des Vorratsvermögens nach dem verlorenen Nachfolgeauftrag „Achsmodul 27". Der Liquiditätsstatus weist seit dem 07.03.2025 eine Unterdeckung der fälligen externen Verbindlichkeiten von 24,3 Prozent aus, die sich in den Folgewochen auf über 30 Prozent ausgeweitet hat und </w:t>
      </w:r>
      <w:r>
        <w:rPr>
          <w:b/>
        </w:rPr>
        <w:t>nach der rollierenden 13-Wochen-Planung aus eigener Kraft nicht mehr schließt</w:t>
      </w:r>
      <w:r>
        <w:t xml:space="preserve">. Damit sind nach der Konzern-Richtlinie Krisenfrüherkennung die Kriterien „rechnerische Überschuldung auf Ebene der Handelsbilanz" und „nachhaltige Deckungslücke über drei Wochen und über zehn Prozent" beide erfüllt; die Gesellschaft ist als </w:t>
      </w:r>
      <w:r>
        <w:rPr>
          <w:b/>
        </w:rPr>
        <w:t>Krisenfall Stufe 3</w:t>
      </w:r>
      <w:r>
        <w:t xml:space="preserve"> einzustufen.</w:t>
      </w:r>
    </w:p>
    <w:p>
      <w:pPr>
        <w:pStyle w:val="Heading2"/>
        <w:spacing w:line="259" w:lineRule="auto" w:after="60"/>
      </w:pPr>
      <w:r>
        <w:rPr>
          <w:rFonts w:ascii="Times New Roman" w:hAnsi="Times New Roman"/>
        </w:rPr>
        <w:t>2 Bedeutung für den Cash-Pool</w:t>
      </w:r>
    </w:p>
    <w:p>
      <w:pPr>
        <w:spacing w:line="259" w:lineRule="auto" w:after="60"/>
        <w:jc w:val="left"/>
      </w:pPr>
      <w:r>
        <w:t xml:space="preserve">Die Werthaltigkeit unseres Rückzahlungsanspruchs aus dem Verrechnungskonto (Stand 31.03.2025: 1.340 TEUR) ist nach Ziffer 5 des Rahmenvertrags neu zu bewerten. Ohne Gegenmaßnahmen ist eine Einzelwertberichtigung im Konzernabschluss unvermeidlich. Eine harte Patronatserklärung oder ein Rangrücktritt zugunsten der Donaupart ist nach Weisung von Dr. Wenng </w:t>
      </w:r>
      <w:r>
        <w:rPr>
          <w:b/>
        </w:rPr>
        <w:t>nicht</w:t>
      </w:r>
      <w:r>
        <w:t xml:space="preserve"> vorgesehen; ebenso wenig eine Kapitalzuführung, solange die Verhandlungen über den Verkauf des Geschäftsbereichs Zerspanung laufen.</w:t>
      </w:r>
    </w:p>
    <w:p>
      <w:pPr>
        <w:pStyle w:val="Heading2"/>
        <w:spacing w:line="259" w:lineRule="auto" w:after="60"/>
      </w:pPr>
      <w:r>
        <w:rPr>
          <w:rFonts w:ascii="Times New Roman" w:hAnsi="Times New Roman"/>
        </w:rPr>
        <w:t>3 Empfehlung</w:t>
      </w:r>
    </w:p>
    <w:p>
      <w:pPr>
        <w:spacing w:line="259" w:lineRule="auto" w:after="60"/>
        <w:jc w:val="left"/>
      </w:pPr>
      <w:r>
        <w:t xml:space="preserve">Erstens: Interne Linie schrittweise von 2.000 TEUR auf 1.200 TEUR zurücknehmen, gekoppelt an die Monatsenden ab April. Zweitens: Nachbesicherung des Investitionsdarlehens von 2019 aus der Nachbesicherungsklausel verlangen; als Sicherungsgut kommt der Maschinenpark in Betracht (Buchwert rund 1,2 Mio. EUR, lastenfrei). Drittens: Der Geschäftsführung der Donaupart ist zu empfehlen, die insolvenzrechtliche Lage (Überschuldungsstatus mit Fortbestehensprognose, § 19 InsO; Zahlungsfähigkeitsprüfung, § 17 InsO) </w:t>
      </w:r>
      <w:r>
        <w:rPr>
          <w:b/>
        </w:rPr>
        <w:t>durch externe Berater prüfen zu lassen</w:t>
      </w:r>
      <w:r>
        <w:t>; die Zuständigkeit hierfür liegt bei der Tochter, nicht bei der Holding. Dieses Memo ersetzt keine solche Prüfung.</w:t>
      </w:r>
    </w:p>
    <w:p>
      <w:pPr>
        <w:spacing w:line="259" w:lineRule="auto" w:after="60"/>
        <w:jc w:val="left"/>
      </w:pPr>
      <w:r>
        <w:t>Neurieder</w:t>
      </w:r>
    </w:p>
    <w:p>
      <w:pPr>
        <w:spacing w:line="259" w:lineRule="auto" w:after="60"/>
        <w:jc w:val="left"/>
      </w:pPr>
      <w:r>
        <w:t>Leiter Konzern-Treasury</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