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Eigenantrag auf Eröffnung des Insolvenzverfahrens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Donaupart Präzisionstechnik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Osttangente 44, 93055 Regensburg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vertreten durch den Geschäftsführer Stefan Obermeier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Regensburg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— Insolvenzgericht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Augustenstraße 3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93049 Regensburg</w:t>
      </w:r>
    </w:p>
    <w:p>
      <w:pPr>
        <w:spacing w:line="259" w:lineRule="auto" w:after="60"/>
        <w:jc w:val="left"/>
      </w:pPr>
      <w:r>
        <w:t>Regensburg, 16.02.2026</w:t>
      </w:r>
    </w:p>
    <w:p>
      <w:pPr>
        <w:spacing w:line="259" w:lineRule="auto" w:after="60"/>
        <w:jc w:val="left"/>
      </w:pPr>
      <w:r>
        <w:rPr>
          <w:b/>
        </w:rPr>
        <w:t>Betreff: Antrag auf Eröffnung des Insolvenzverfahrens über das Vermögen der Donaupart Präzisionstechnik GmbH (Eigenantrag)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namens der Donaupart Präzisionstechnik GmbH, deren einzelvertretungsberechtigter Geschäftsführer ich bin, beantrage ich,</w:t>
      </w:r>
    </w:p>
    <w:p>
      <w:pPr>
        <w:spacing w:line="259" w:lineRule="auto" w:after="60"/>
        <w:jc w:val="left"/>
      </w:pPr>
      <w:r>
        <w:t>das Insolvenzverfahren über das Vermögen der Gesellschaft zu eröffnen.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 Angaben zur Schuldnerin</w:t>
      </w:r>
    </w:p>
    <w:p>
      <w:pPr>
        <w:spacing w:line="259" w:lineRule="auto" w:after="60"/>
        <w:jc w:val="left"/>
      </w:pPr>
      <w:r>
        <w:t>Die Schuldnerin fertigt in Regensburg Präzisionsteile für die Automobilindustrie und beschäftigt derzeit 67 Arbeitnehmer. Handelsregister: Amtsgericht Regensburg, HRB 12894. Stammkapital: 500.000,00 EUR. Gesellschafter sind die AVR Automotive Beteiligungs GmbH (92 Prozent) und Herr Dipl.-Ing. Werner Kastl (8 Prozent). Die Schuldnerin nimmt am Cash-Pooling des AVR-Konzerns teil.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Eröffnungsgrund</w:t>
      </w:r>
    </w:p>
    <w:p>
      <w:pPr>
        <w:spacing w:line="259" w:lineRule="auto" w:after="60"/>
        <w:jc w:val="left"/>
      </w:pPr>
      <w:r>
        <w:t xml:space="preserve">Die Schuldnerin ist zahlungsunfähig (§ 17 InsO) und überschuldet (§ 19 InsO). </w:t>
      </w:r>
      <w:r>
        <w:rPr>
          <w:b/>
        </w:rPr>
        <w:t>Die Zahlungsunfähigkeit ist Mitte Dezember 2025 eingetreten</w:t>
      </w:r>
      <w:r>
        <w:t>, nachdem der geplante Verkauf des Geschäftsbereichs Zerspanung an einen strategischen Investor am 09.12.2025 gescheitert ist und die Konzernobergesellschaft daraufhin mitgeteilt hat, weitere Abrufe aus dem Cash-Pool nur noch für die Lohnläufe freizugeben. Seither können fällige Lieferantenverbindlichkeiten in erheblichem Umfang nicht mehr bedient werden. Zuvor war die Liquidität der Gesellschaft über das Konzern-Cash-Pooling durchgehend sichergestellt; die Gesellschaft konnte über die interne Kreditlinie sämtliche fälligen Verbindlichkeiten bedienen. Die Überschuldung ergibt sich aus dem vorläufigen Status zum 31.01.2026.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Beigefügte Unterlagen</w:t>
      </w:r>
    </w:p>
    <w:p>
      <w:pPr>
        <w:spacing w:line="259" w:lineRule="auto" w:after="60"/>
        <w:jc w:val="left"/>
      </w:pPr>
      <w:r>
        <w:t>Beigefügt sind das Gläubiger- und Forderungsverzeichnis (Stand 13.02.2026), das Vermögensverzeichnis mit Anlagenspiegel, der vorläufige Überschuldungsstatus, die Saldenlisten sowie eine Darstellung der Konzernfinanzierung. Eigenverwaltung wird nicht beantragt.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Erklärungen</w:t>
      </w:r>
    </w:p>
    <w:p>
      <w:pPr>
        <w:spacing w:line="259" w:lineRule="auto" w:after="60"/>
        <w:jc w:val="left"/>
      </w:pPr>
      <w:r>
        <w:t>Ich versichere die Richtigkeit und Vollständigkeit der Angaben. Über das Vermögen der Schuldnerin war bisher kein Insolvenzverfahren anhängig.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Stefan Obermeier</w:t>
      </w:r>
    </w:p>
    <w:p>
      <w:pPr>
        <w:spacing w:line="259" w:lineRule="auto" w:after="60"/>
        <w:jc w:val="left"/>
      </w:pPr>
      <w:r>
        <w:t>Geschäftsführer</w:t>
      </w:r>
    </w:p>
    <w:p>
      <w:pPr>
        <w:spacing w:line="259" w:lineRule="auto" w:after="60"/>
        <w:jc w:val="left"/>
      </w:pPr>
      <w:r>
        <w:rPr>
          <w:b/>
        </w:rPr>
        <w:t>Eingangsstempel des Gerichts:</w:t>
      </w:r>
      <w:r>
        <w:t xml:space="preserve"> Amtsgericht Regensburg, eingegangen am 16.02.2026, 08:49 Uhr.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