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 und Rückgewährverlangen des Insolvenzverwalters an die Konzernobergesellschaft</w:t>
      </w:r>
    </w:p>
    <w:p>
      <w:pPr>
        <w:spacing w:before="120" w:after="60" w:line="259" w:lineRule="auto"/>
        <w:jc w:val="left"/>
      </w:pPr>
      <w:r>
        <w:rPr>
          <w:rFonts w:ascii="Times New Roman" w:hAnsi="Times New Roman"/>
          <w:b/>
          <w:sz w:val="22"/>
        </w:rPr>
        <w:t>Rechtsanwalt Dr. Ludwig Stadlbauer</w:t>
      </w:r>
    </w:p>
    <w:p>
      <w:pPr>
        <w:spacing w:before="120" w:after="60" w:line="259" w:lineRule="auto"/>
        <w:jc w:val="left"/>
      </w:pPr>
      <w:r>
        <w:rPr>
          <w:rFonts w:ascii="Times New Roman" w:hAnsi="Times New Roman"/>
          <w:b/>
          <w:sz w:val="22"/>
        </w:rPr>
        <w:t>Insolvenzverwalter über das Vermögen der Donaupart Präzisionstechnik GmbH</w:t>
      </w:r>
    </w:p>
    <w:p>
      <w:pPr>
        <w:spacing w:before="120" w:after="60" w:line="259" w:lineRule="auto"/>
        <w:jc w:val="left"/>
      </w:pPr>
      <w:r>
        <w:rPr>
          <w:rFonts w:ascii="Times New Roman" w:hAnsi="Times New Roman"/>
          <w:b/>
          <w:sz w:val="22"/>
        </w:rPr>
        <w:t>Maximilianstraße 18, 93047 Regensburg</w:t>
      </w:r>
    </w:p>
    <w:p>
      <w:pPr>
        <w:spacing w:before="120" w:after="60" w:line="259" w:lineRule="auto"/>
        <w:jc w:val="left"/>
      </w:pPr>
      <w:r>
        <w:rPr>
          <w:rFonts w:ascii="Times New Roman" w:hAnsi="Times New Roman"/>
          <w:b/>
          <w:sz w:val="22"/>
        </w:rPr>
        <w:t>Telefon 0941 58012-0 — kanzlei@stadlbauer-insolvenzverwaltung.de</w:t>
      </w:r>
    </w:p>
    <w:p>
      <w:pPr>
        <w:spacing w:before="120" w:after="60" w:line="259" w:lineRule="auto"/>
        <w:jc w:val="left"/>
      </w:pPr>
      <w:r>
        <w:rPr>
          <w:rFonts w:ascii="Times New Roman" w:hAnsi="Times New Roman"/>
          <w:b/>
          <w:sz w:val="22"/>
        </w:rPr>
        <w:t>Az.: 152/26 St — Bitte stets angeben</w:t>
      </w:r>
    </w:p>
    <w:p>
      <w:pPr>
        <w:spacing w:before="120" w:after="60" w:line="259" w:lineRule="auto"/>
        <w:jc w:val="left"/>
      </w:pPr>
      <w:r>
        <w:rPr>
          <w:rFonts w:ascii="Times New Roman" w:hAnsi="Times New Roman"/>
          <w:b/>
          <w:sz w:val="22"/>
        </w:rPr>
        <w:t>Einschreiben mit Rückschein</w:t>
      </w:r>
    </w:p>
    <w:p>
      <w:pPr>
        <w:spacing w:before="120" w:after="60" w:line="259" w:lineRule="auto"/>
        <w:jc w:val="left"/>
      </w:pPr>
      <w:r>
        <w:rPr>
          <w:rFonts w:ascii="Times New Roman" w:hAnsi="Times New Roman"/>
          <w:b/>
          <w:sz w:val="22"/>
        </w:rPr>
        <w:t>AVR Automotive Beteiligungs GmbH</w:t>
      </w:r>
    </w:p>
    <w:p>
      <w:pPr>
        <w:spacing w:line="259" w:lineRule="auto" w:after="60"/>
        <w:jc w:val="left"/>
      </w:pPr>
      <w:r>
        <w:t>z. Hd. der Geschäftsführerin Dr. Carola Wenng</w:t>
      </w:r>
    </w:p>
    <w:p>
      <w:pPr>
        <w:spacing w:line="259" w:lineRule="auto" w:after="60"/>
        <w:jc w:val="left"/>
      </w:pPr>
      <w:r>
        <w:t>Prüfeninger Straße 89</w:t>
      </w:r>
    </w:p>
    <w:p>
      <w:pPr>
        <w:spacing w:line="259" w:lineRule="auto" w:after="60"/>
        <w:jc w:val="left"/>
      </w:pPr>
      <w:r>
        <w:t>93049 Regensburg</w:t>
      </w:r>
    </w:p>
    <w:p>
      <w:pPr>
        <w:spacing w:line="259" w:lineRule="auto" w:after="60"/>
        <w:jc w:val="left"/>
      </w:pPr>
      <w:r>
        <w:t>Regensburg, 08.06.2026</w:t>
      </w:r>
    </w:p>
    <w:p>
      <w:pPr>
        <w:spacing w:line="259" w:lineRule="auto" w:after="60"/>
        <w:jc w:val="left"/>
      </w:pPr>
      <w:r>
        <w:rPr>
          <w:b/>
        </w:rPr>
        <w:t>Betreff: Insolvenzverfahren über das Vermögen der Donaupart Präzisionstechnik GmbH (AG Regensburg, 3 IN 152/26) — Anfechtung nach § 135 InsO; Rückgewähr der Cash-Pool-Rückführungen; Freigabe des Sicherungsguts</w:t>
      </w:r>
    </w:p>
    <w:p>
      <w:pPr>
        <w:spacing w:line="259" w:lineRule="auto" w:after="60"/>
        <w:jc w:val="left"/>
      </w:pPr>
      <w:r>
        <w:t>Sehr geehrte Frau Dr. Wenng,</w:t>
      </w:r>
    </w:p>
    <w:p>
      <w:pPr>
        <w:spacing w:line="259" w:lineRule="auto" w:after="60"/>
        <w:jc w:val="left"/>
      </w:pPr>
      <w:r>
        <w:t>durch Beschluss des Amtsgerichts Regensburg vom 12.05.2026 (3 IN 152/26) ist über das Vermögen der Donaupart Präzisionstechnik GmbH das Insolvenzverfahren eröffnet und der Unterzeichner zum Insolvenzverwalter bestellt worden. Der Eröffnungsbeschluss liegt in beglaubigter Abschrift bei.</w:t>
      </w:r>
    </w:p>
    <w:p>
      <w:pPr>
        <w:pStyle w:val="Heading2"/>
        <w:spacing w:line="259" w:lineRule="auto" w:after="60"/>
      </w:pPr>
      <w:r>
        <w:rPr>
          <w:rFonts w:ascii="Times New Roman" w:hAnsi="Times New Roman"/>
        </w:rPr>
        <w:t>1 Cash-Pool-Salden als Gesellschafterdarlehen</w:t>
      </w:r>
    </w:p>
    <w:p>
      <w:pPr>
        <w:spacing w:line="259" w:lineRule="auto" w:after="60"/>
        <w:jc w:val="left"/>
      </w:pPr>
      <w:r>
        <w:t>Ihre Gesellschaft hält 92 Prozent der Geschäftsanteile der Schuldnerin und führt den Konzern-Cash-Pool, an dem die Schuldnerin seit dem 01.07.2021 teilnimmt. Die auf dem Verrechnungskonto geführten Salden zugunsten Ihrer Gesellschaft sind rechtlich Darlehensforderungen; das stellt Ziffer 2 Ihres eigenen Rahmenvertrags ausdrücklich klar. Kredite, die ein Gesellschafter seiner Gesellschaft gewährt, unterfallen § 39 Abs. 1 Nr. 5 InsO; auf die Form der Kreditgewährung kommt es nicht an, so dass auch täglich neu entstehende Sollsalden aus einem Zero-Balancing-Cash-Pool Forderungen auf Rückgewähr eines Gesellschafterdarlehens sind. Wirtschaftlich hat Ihre Gesellschaft der Schuldnerin über das Master-Konto fortlaufend Kredit gewährt und sich diesen im letzten Jahr planmäßig zurückführen lassen.</w:t>
      </w:r>
    </w:p>
    <w:p>
      <w:pPr>
        <w:pStyle w:val="Heading2"/>
        <w:spacing w:line="259" w:lineRule="auto" w:after="60"/>
      </w:pPr>
      <w:r>
        <w:rPr>
          <w:rFonts w:ascii="Times New Roman" w:hAnsi="Times New Roman"/>
        </w:rPr>
        <w:t>2 Anfechtung der Rückführungen (§ 135 Abs. 1 Nr. 2 InsO)</w:t>
      </w:r>
    </w:p>
    <w:p>
      <w:pPr>
        <w:spacing w:line="259" w:lineRule="auto" w:after="60"/>
        <w:jc w:val="left"/>
      </w:pPr>
      <w:r>
        <w:t xml:space="preserve">Der Eröffnungsantrag ist am 16.02.2026 eingegangen; die Jahresfrist des § 135 Abs. 1 Nr. 2 InsO umfasst nach § 139 Abs. 1 InsO den Zeitraum ab dem 16.02.2025. In diesem Zeitraum hat die Schuldnerin nach der Saldenliste des Verrechnungskontos </w:t>
      </w:r>
      <w:r>
        <w:rPr>
          <w:b/>
        </w:rPr>
        <w:t>Bruttoabführungen von 3.540.000,00 EUR</w:t>
      </w:r>
      <w:r>
        <w:t xml:space="preserve"> an Ihre Gesellschaft geleistet, denen Zuführungen von 2.900.000,00 EUR gegenüberstehen; die Verbindlichkeit der Schuldnerin aus dem Verrechnungskonto ist dadurch von 1.480.000,00 EUR auf 840.000,00 EUR, also </w:t>
      </w:r>
      <w:r>
        <w:rPr>
          <w:b/>
        </w:rPr>
        <w:t>per Saldo um 640.000,00 EUR</w:t>
      </w:r>
      <w:r>
        <w:t>, zurückgeführt worden. Diese Rückführung war kein zufälliges Ergebnis des Zahlungsverkehrs: Nach dem Treasury-Vermerk Ihres Hauses vom 14.04.2025 wurde die interne Linie nur gehalten, „wenn die Rückführung läuft", und über eine monatliche Staffel gezielt abgeschmolzen.</w:t>
      </w:r>
    </w:p>
    <w:p>
      <w:pPr>
        <w:spacing w:line="259" w:lineRule="auto" w:after="60"/>
        <w:jc w:val="left"/>
      </w:pPr>
      <w:r>
        <w:t xml:space="preserve">Ich fechte sämtliche im Zeitraum vom 16.02.2025 bis zum 16.02.2026 auf dem Verrechnungskonto erfassten Abführungen der Schuldnerin an Ihre Gesellschaft nach </w:t>
      </w:r>
      <w:r>
        <w:rPr>
          <w:b/>
        </w:rPr>
        <w:t>§ 135 Abs. 1 Nr. 2 InsO</w:t>
      </w:r>
      <w:r>
        <w:t xml:space="preserve"> an und fordere </w:t>
      </w:r>
      <w:r>
        <w:rPr>
          <w:b/>
        </w:rPr>
        <w:t>primär Rückgewähr der Bruttoabführungen von 3.540.000,00 EUR</w:t>
      </w:r>
      <w:r>
        <w:t xml:space="preserve">, da jede einzelne Abführung eine Befriedigung auf die Darlehensforderung darstellt; die Frage, ob bei einem revolvierenden Kontokorrentverhältnis stattdessen eine Begrenzung auf die Salden- bzw. Höchstbetragsdifferenz geboten ist, mag gerichtlich geklärt werden. </w:t>
      </w:r>
      <w:r>
        <w:rPr>
          <w:b/>
        </w:rPr>
        <w:t>Hilfsweise</w:t>
      </w:r>
      <w:r>
        <w:t xml:space="preserve"> fordere ich Rückgewähr des Rückführungsbetrags von </w:t>
      </w:r>
      <w:r>
        <w:rPr>
          <w:b/>
        </w:rPr>
        <w:t>640.000,00 EUR</w:t>
      </w:r>
      <w:r>
        <w:t xml:space="preserve"> (Differenz der Salden zu Beginn und am Ende der Jahresfrist als niedrigster gesicherter Anfechtungsumfang). Auf eine Kenntnis Ihrer Gesellschaft von einer Krise der Schuldnerin kommt es im Rahmen des § 135 InsO nicht an; lediglich ergänzend weise ich darauf hin, dass Ihr eigenes Treasury-Memo vom 31.03.2025 die Schuldnerin bereits als „Krisenfall Stufe 3" mit negativem Eigenkapital und nachhaltiger Deckungslücke einordnet.</w:t>
      </w:r>
    </w:p>
    <w:p>
      <w:pPr>
        <w:pStyle w:val="Heading2"/>
        <w:spacing w:line="259" w:lineRule="auto" w:after="60"/>
      </w:pPr>
      <w:r>
        <w:rPr>
          <w:rFonts w:ascii="Times New Roman" w:hAnsi="Times New Roman"/>
        </w:rPr>
        <w:t>3 Anfechtung der Besicherung des Altdarlehens (§ 135 Abs. 1 Nr. 1 InsO)</w:t>
      </w:r>
    </w:p>
    <w:p>
      <w:pPr>
        <w:spacing w:line="259" w:lineRule="auto" w:after="60"/>
        <w:jc w:val="left"/>
      </w:pPr>
      <w:r>
        <w:t xml:space="preserve">Mit Vertrag vom 18.06.2025 — acht Monate vor dem Eröffnungsantrag — hat die Schuldnerin Ihrer Gesellschaft zur Besicherung des unbesicherten Darlehens vom 20.05.2019 über 750.000,00 EUR ihren gesamten Maschinenpark (Buchwert 1.180.000,00 EUR) sicherungsübereignet. Für eine solche Sicherung gilt die </w:t>
      </w:r>
      <w:r>
        <w:rPr>
          <w:b/>
        </w:rPr>
        <w:t>Zehnjahresfrist</w:t>
      </w:r>
      <w:r>
        <w:t xml:space="preserve"> des § 135 Abs. 1 Nr. 1 InsO; die nachträgliche Besicherung eines seit 2019 unbesicherten Gesellschafterdarlehens in der Krise ist der Grundfall dieser Vorschrift. Ich fechte die Sicherungsübereignung an und fordere Sie auf, auf sämtliche Rechte aus dem Sicherungsübereignungsvertrag zu </w:t>
      </w:r>
      <w:r>
        <w:rPr>
          <w:b/>
        </w:rPr>
        <w:t>verzichten</w:t>
      </w:r>
      <w:r>
        <w:t xml:space="preserve"> und die Freigabe des Sicherungsguts schriftlich zu bestätigen; die Kennzeichnungsplaketten werde ich entfernen lassen. Die Verwertung des Maschinenparks für die Masse wird hierdurch vorbereitet.</w:t>
      </w:r>
    </w:p>
    <w:p>
      <w:pPr>
        <w:pStyle w:val="Heading2"/>
        <w:spacing w:line="259" w:lineRule="auto" w:after="60"/>
      </w:pPr>
      <w:r>
        <w:rPr>
          <w:rFonts w:ascii="Times New Roman" w:hAnsi="Times New Roman"/>
        </w:rPr>
        <w:t>4 Zahlungsaufforderung und Fristen</w:t>
      </w:r>
    </w:p>
    <w:p>
      <w:pPr>
        <w:spacing w:line="259" w:lineRule="auto" w:after="60"/>
        <w:jc w:val="left"/>
      </w:pPr>
      <w:r>
        <w:t xml:space="preserve">Ich fordere Sie auf, bis zum </w:t>
      </w:r>
      <w:r>
        <w:rPr>
          <w:b/>
        </w:rPr>
        <w:t>06.07.2026</w:t>
      </w:r>
      <w:r>
        <w:t>: erstens 3.540.000,00 EUR, hilfsweise mindestens 640.000,00 EUR, nebst Zinsen in Höhe von fünf Prozentpunkten über dem Basiszinssatz seit dem 12.05.2026 auf das Insolvenz-Anderkonto IBAN DE58 7505 0000 0027 118 344 (Verwendungszweck: 152/26 St) zu zahlen; zweitens den Verzicht auf die Rechte aus der Sicherungsübereignung schriftlich zu erklären; drittens die vollständigen Kontoauszüge des Master-Kontos und des Verrechnungskontos für den Zeitraum ab dem 01.01.2025 vorzulegen, soweit sie die Schuldnerin betreffen. Ihre Forderung aus dem Verrechnungskonto ist im Übrigen nach § 39 Abs. 1 Nr. 5 InsO nachrangig und wird nur auf besondere Aufforderung des Gerichts angemeldet (§ 174 Abs. 3 InsO).</w:t>
      </w:r>
    </w:p>
    <w:p>
      <w:pPr>
        <w:spacing w:line="259" w:lineRule="auto" w:after="60"/>
        <w:jc w:val="left"/>
      </w:pPr>
      <w:r>
        <w:t>Der Ordnung halber weise ich darauf hin, dass ich die Rückzahlung des Darlehens des Mitgesellschafters Kastl vom 30.09.2025 über 45.000,00 EUR gesondert prüfe und Herrn Kastl hierzu mit Schreiben vom heutigen Tag um Stellungnahme zu Beteiligungshöhe und Geschäftsführungsfunktion gebeten habe.</w:t>
      </w:r>
    </w:p>
    <w:p>
      <w:pPr>
        <w:spacing w:line="259" w:lineRule="auto" w:after="60"/>
        <w:jc w:val="left"/>
      </w:pPr>
      <w:r>
        <w:t>Nach fruchtlosem Fristablauf erhebe ich Klage vor dem Landgericht Regensburg.</w:t>
      </w:r>
    </w:p>
    <w:p>
      <w:pPr>
        <w:spacing w:line="259" w:lineRule="auto" w:after="60"/>
        <w:jc w:val="left"/>
      </w:pPr>
      <w:r>
        <w:t>Mit freundlichen Grüßen</w:t>
      </w:r>
    </w:p>
    <w:p>
      <w:pPr>
        <w:spacing w:line="259" w:lineRule="auto" w:after="60"/>
        <w:jc w:val="left"/>
      </w:pPr>
      <w:r>
        <w:t>Dr. Stadlbauer</w:t>
      </w:r>
    </w:p>
    <w:p>
      <w:pPr>
        <w:spacing w:line="259" w:lineRule="auto" w:after="60"/>
        <w:jc w:val="left"/>
      </w:pPr>
      <w:r>
        <w:t>Rechtsanwalt, Insolvenzverwalter</w:t>
      </w:r>
    </w:p>
    <w:p>
      <w:pPr>
        <w:spacing w:line="259" w:lineRule="auto" w:after="60"/>
        <w:jc w:val="left"/>
      </w:pPr>
      <w:r>
        <w:t>Anlagen: Eröffnungsbeschluss (beglaubigte Abschrift), Saldenliste Verrechnungskonto, Berechnungsübersicht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