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160" w:line="259" w:lineRule="auto"/>
      </w:pPr>
      <w:r>
        <w:rPr>
          <w:rFonts w:ascii="Times New Roman" w:hAnsi="Times New Roman"/>
          <w:b/>
          <w:sz w:val="28"/>
        </w:rPr>
        <w:t>Gutachten über den Verkehrswert des Grundstücks Krefelder Straße 214, 41063 Mönchengladbach</w:t>
      </w:r>
    </w:p>
    <w:p>
      <w:pPr>
        <w:spacing w:line="259" w:lineRule="auto" w:after="60"/>
        <w:jc w:val="left"/>
      </w:pPr>
      <w:r>
        <w:rPr>
          <w:b/>
        </w:rPr>
        <w:t>Dipl.-Ing. Henrike Dallmer</w:t>
      </w:r>
      <w:r>
        <w:t xml:space="preserve"> · Öffentlich bestellte und vereidigte Sachverständige für die Bewertung von bebauten und unbebauten Grundstücken (IHK Mittlerer Niederrhein) · Lindenhof 9 · 41751 Viersen</w:t>
      </w:r>
    </w:p>
    <w:p>
      <w:pPr>
        <w:spacing w:line="259" w:lineRule="auto" w:after="60"/>
        <w:jc w:val="left"/>
      </w:pPr>
      <w:r>
        <w:t>Gutachten-Nr.: 2025-138 D · Wertermittlungsstichtag: 15.10.2025 · Ortsbesichtigung: 09.10.2025</w:t>
      </w:r>
    </w:p>
    <w:p>
      <w:pPr>
        <w:spacing w:before="120" w:after="60" w:line="259" w:lineRule="auto"/>
        <w:jc w:val="left"/>
      </w:pPr>
      <w:r>
        <w:rPr>
          <w:rFonts w:ascii="Times New Roman" w:hAnsi="Times New Roman"/>
          <w:b/>
          <w:sz w:val="22"/>
        </w:rPr>
        <w:t>Viersen, den 24.10.2025</w:t>
      </w:r>
    </w:p>
    <w:p>
      <w:pPr>
        <w:spacing w:line="259" w:lineRule="auto" w:after="60"/>
        <w:jc w:val="left"/>
      </w:pPr>
      <w:r>
        <w:t>Auftraggeberin: Vondering Metallform GmbH, Krefelder Straße 214, 41063 Mönchengladbach, vertreten durch den Geschäftsführer Matthias Vondering</w:t>
      </w:r>
    </w:p>
    <w:p>
      <w:pPr>
        <w:spacing w:line="259" w:lineRule="auto" w:after="60"/>
        <w:jc w:val="left"/>
      </w:pPr>
      <w:r>
        <w:t>Zweck des Gutachtens: Ermittlung des Verkehrswerts (Marktwerts) im Sinne des § 194 BauGB im Hinblick auf eine beabsichtigte kurzfristige Veräußerung des Betriebsgrundstücks</w:t>
      </w:r>
    </w:p>
    <w:p>
      <w:pPr>
        <w:spacing w:before="120" w:after="60" w:line="259" w:lineRule="auto"/>
        <w:jc w:val="left"/>
      </w:pPr>
      <w:r>
        <w:rPr>
          <w:rFonts w:ascii="Times New Roman" w:hAnsi="Times New Roman"/>
          <w:b/>
          <w:sz w:val="22"/>
        </w:rPr>
        <w:t>1 Bewertungsgegenstand</w:t>
      </w:r>
    </w:p>
    <w:p>
      <w:pPr>
        <w:spacing w:line="259" w:lineRule="auto" w:after="60"/>
        <w:jc w:val="left"/>
      </w:pPr>
      <w:r>
        <w:t>Bewertungsgegenstand ist das Grundstück Gemarkung Mönchengladbach, Flur 112, Flurstück 46, Grundbuch von Mönchengladbach Blatt 8241, Krefelder Straße 214, mit einer Fläche von 8.450 m². Das Grundstück ist mit einer 1994 errichteten und 2011 erweiterten Produktionshalle (Nutzfläche 4.120 m², lichte Höhe 7,50 m, zwei Krananlagen à 10 t) sowie einem dreigeschossigen Verwaltungsgebäude (Nutzfläche 640 m², Baujahr 1994) bebaut. Die Außenanlagen umfassen befestigte Verkehrs- und Lagerflächen von rund 2.900 m².</w:t>
      </w:r>
    </w:p>
    <w:p>
      <w:pPr>
        <w:spacing w:line="259" w:lineRule="auto" w:after="60"/>
        <w:jc w:val="left"/>
      </w:pPr>
      <w:r>
        <w:t>2 Grundlagen der Wertermittlung</w:t>
      </w:r>
    </w:p>
    <w:p>
      <w:pPr>
        <w:spacing w:line="259" w:lineRule="auto" w:after="60"/>
        <w:jc w:val="left"/>
      </w:pPr>
      <w:r>
        <w:t>Die Wertermittlung erfolgt nach den Vorschriften der Immobilienwertermittlungsverordnung (ImmoWertV). Herangezogen wurden der Grundbuchauszug vom 02.10.2025, das Baulastenverzeichnis der Stadt Mönchengladbach (keine Eintragungen), der Bodenrichtwert der Gutachterausschuss-Richtwertzone „Gewerbegebiet Krefelder Straße" von 95 EUR/m² (Stand 01.01.2025), die Mietwertübersicht Gewerbeimmobilien Region Mittlerer Niederrhein 2025 sowie die bei der Ortsbesichtigung getroffenen Feststellungen. Rechte in Abteilung II und III des Grundbuchs bleiben bei der Verkehrswertermittlung des unbelasteten Grundstücks unberücksichtigt; die Dienstbarkeit (Transformatorenstation) wirkt sich wertmäßig nur unwesentlich aus und wird mit einem Abschlag von 5.000 EUR berücksichtigt.</w:t>
      </w:r>
    </w:p>
    <w:p>
      <w:pPr>
        <w:spacing w:line="259" w:lineRule="auto" w:after="60"/>
        <w:jc w:val="left"/>
      </w:pPr>
      <w:r>
        <w:t>3 Bodenwert</w:t>
      </w:r>
    </w:p>
    <w:p>
      <w:pPr>
        <w:spacing w:line="259" w:lineRule="auto" w:after="60"/>
        <w:jc w:val="left"/>
      </w:pPr>
      <w:r>
        <w:t>Bei einer Grundstücksfläche von 8.450 m² und einem lagemäßig angepassten Bodenwert von 92 EUR/m² ergibt sich ein Bodenwert von gerundet 777.000 EUR.</w:t>
      </w:r>
    </w:p>
    <w:p>
      <w:pPr>
        <w:spacing w:line="259" w:lineRule="auto" w:after="60"/>
        <w:jc w:val="left"/>
      </w:pPr>
      <w:r>
        <w:t>4 Ertragswert der baulichen Anlagen</w:t>
      </w:r>
    </w:p>
    <w:p>
      <w:pPr>
        <w:spacing w:line="259" w:lineRule="auto" w:after="60"/>
        <w:jc w:val="left"/>
      </w:pPr>
      <w:r>
        <w:t>4.1 Als marktüblich erzielbare Miete werden angesetzt: Halle 4.120 m² à 4,60 EUR/m², Verwaltungsgebäude 640 m² à 8,20 EUR/m², Freiflächen 2.900 m² à 0,90 EUR/m². Der Jahresrohertrag beträgt danach gerundet 321.700 EUR.</w:t>
      </w:r>
    </w:p>
    <w:p>
      <w:pPr>
        <w:spacing w:line="259" w:lineRule="auto" w:after="60"/>
        <w:jc w:val="left"/>
      </w:pPr>
      <w:r>
        <w:t>4.2 Nach Abzug der Bewirtschaftungskosten (18 Prozent) verbleibt ein Jahresreinertrag von gerundet 263.800 EUR. Bei einem Liegenschaftszinssatz von 6,9 Prozent, einer Restnutzungsdauer von 24 Jahren und dem Bodenwertverzinsungsbetrag von 53.600 EUR ergibt sich ein Ertragswert der baulichen Anlagen von gerundet 1.278.000 EUR.</w:t>
      </w:r>
    </w:p>
    <w:p>
      <w:pPr>
        <w:spacing w:line="259" w:lineRule="auto" w:after="60"/>
        <w:jc w:val="left"/>
      </w:pPr>
      <w:r>
        <w:t>5 Vorläufiger Ertragswert des Grundstücks</w:t>
      </w:r>
    </w:p>
    <w:p>
      <w:pPr>
        <w:spacing w:line="259" w:lineRule="auto" w:after="60"/>
        <w:jc w:val="left"/>
      </w:pPr>
      <w:r>
        <w:t>Bodenwert und Ertragswert der baulichen Anlagen ergeben zusammen 2.055.000 EUR. Nach Abzug des Abschlags für die Dienstbarkeit (5.000 EUR) beträgt der vorläufige Ertragswert gerundet 2.050.000 EUR.</w:t>
      </w:r>
    </w:p>
    <w:p>
      <w:pPr>
        <w:spacing w:line="259" w:lineRule="auto" w:after="60"/>
        <w:jc w:val="left"/>
      </w:pPr>
      <w:r>
        <w:t>6 Marktanpassung und Verkehrswert</w:t>
      </w:r>
    </w:p>
    <w:p>
      <w:pPr>
        <w:spacing w:line="259" w:lineRule="auto" w:after="60"/>
        <w:jc w:val="left"/>
      </w:pPr>
      <w:r>
        <w:t>Die Auftraggeberin hat mitgeteilt, dass die Veräußerung innerhalb weniger Wochen erfolgen soll, da der Erlös zur Rückführung fälliger Bankverbindlichkeiten benötigt wird. Für Produktionsgrundstücke dieser Größenordnung beträgt die marktübliche Vermarktungsdauer in der Region derzeit neun bis vierzehn Monate. Zur Berücksichtigung der verkürzten Vermarktungsdauer und des dadurch eingeschränkten Bieterkreises wird ein Marktanpassungsabschlag von 10 Prozent auf den vorläufigen Ertragswert vorgenommen. Es ergibt sich ein Betrag von 1.845.000 EUR.</w:t>
      </w:r>
    </w:p>
    <w:p>
      <w:pPr>
        <w:spacing w:line="259" w:lineRule="auto" w:after="60"/>
        <w:jc w:val="left"/>
      </w:pPr>
      <w:r>
        <w:t>Der Verkehrswert des Grundstücks Krefelder Straße 214, 41063 Mönchengladbach, wird zum Wertermittlungsstichtag 15.10.2025 mit gerundet</w:t>
      </w:r>
    </w:p>
    <w:p>
      <w:pPr>
        <w:spacing w:line="259" w:lineRule="auto" w:after="60"/>
        <w:jc w:val="left"/>
      </w:pPr>
      <w:r>
        <w:rPr>
          <w:b/>
        </w:rPr>
        <w:t>1.850.000 EUR</w:t>
      </w:r>
    </w:p>
    <w:p>
      <w:pPr>
        <w:spacing w:line="259" w:lineRule="auto" w:after="60"/>
        <w:jc w:val="left"/>
      </w:pPr>
      <w:r>
        <w:t>(in Worten: eine Million achthundertfünfzigtausend Euro) angegeben.</w:t>
      </w:r>
    </w:p>
    <w:p>
      <w:pPr>
        <w:spacing w:line="259" w:lineRule="auto" w:after="60"/>
        <w:jc w:val="left"/>
      </w:pPr>
      <w:r>
        <w:t>7 Schlussbemerkung</w:t>
      </w:r>
    </w:p>
    <w:p>
      <w:pPr>
        <w:spacing w:line="259" w:lineRule="auto" w:after="60"/>
        <w:jc w:val="left"/>
      </w:pPr>
      <w:r>
        <w:t>Das Gutachten ist nur für den angegebenen Zweck und die Auftraggeberin bestimmt. Es wurde nach bestem Wissen und Gewissen unter Beachtung der einschlägigen Wertermittlungsvorschriften erstellt.</w:t>
      </w:r>
    </w:p>
    <w:p>
      <w:pPr>
        <w:spacing w:line="259" w:lineRule="auto" w:after="60"/>
        <w:jc w:val="left"/>
      </w:pPr>
      <w:r>
        <w:t>Dipl.-Ing. Henrike Dallmer</w:t>
      </w:r>
    </w:p>
    <w:p>
      <w:pPr>
        <w:spacing w:line="259" w:lineRule="auto" w:after="60"/>
        <w:jc w:val="left"/>
      </w:pPr>
      <w:r>
        <w:t>Öffentlich bestellte und vereidigte Sachverständige</w:t>
      </w:r>
    </w:p>
    <w:sectPr w:rsidR="00FC693F" w:rsidRPr="0006063C" w:rsidSect="00034616">
      <w:headerReference w:type="default" r:id="rId9"/>
      <w:footerReference w:type="default" r:id="rId10"/>
      <w:pgSz w:w="11906" w:h="16838"/>
      <w:pgMar w:top="1191" w:right="1247"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Times New Roman" w:hAnsi="Times New Roman"/>
        <w:b w:val="0"/>
        <w:color w:val="777777"/>
        <w:sz w:val="17"/>
      </w:rPr>
      <w:t>Vertraulich | Bearbeitungsstand Juli 2026 | nur zur Aktenbearbeitung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val="0"/>
        <w:i w:val="0"/>
        <w:color w:val="666666"/>
        <w:sz w:val="17"/>
      </w:rPr>
      <w:t>Lindenhof und Partner mbB | Insolvenz- und Restrukturierungsakte | Bearbeitungsstand Juli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