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des gegnerischen Anwalts</w:t>
      </w:r>
    </w:p>
    <w:p>
      <w:pPr>
        <w:spacing w:line="259" w:lineRule="auto" w:after="60"/>
        <w:jc w:val="left"/>
      </w:pPr>
      <w:r>
        <w:rPr>
          <w:b/>
        </w:rPr>
        <w:t>Brandstätter Rechtsanwälte PartG mbB</w:t>
      </w:r>
      <w:r>
        <w:t xml:space="preserve"> · Königsallee 61 · 40215 Düsseldorf · Telefon 0211 8804-100</w:t>
      </w:r>
    </w:p>
    <w:p>
      <w:pPr>
        <w:spacing w:before="120" w:after="60" w:line="259" w:lineRule="auto"/>
        <w:jc w:val="left"/>
      </w:pPr>
      <w:r>
        <w:rPr>
          <w:rFonts w:ascii="Times New Roman" w:hAnsi="Times New Roman"/>
          <w:b/>
          <w:sz w:val="22"/>
        </w:rPr>
        <w:t>Unser Zeichen: 1442/26 LB · Rechtsanwalt Dr. Leo Brandstätter</w:t>
      </w:r>
    </w:p>
    <w:p>
      <w:pPr>
        <w:spacing w:before="120" w:after="60" w:line="259" w:lineRule="auto"/>
        <w:jc w:val="left"/>
      </w:pPr>
      <w:r>
        <w:rPr>
          <w:rFonts w:ascii="Times New Roman" w:hAnsi="Times New Roman"/>
          <w:b/>
          <w:sz w:val="22"/>
        </w:rPr>
        <w:t>Düsseldorf, den 30.06.2026</w:t>
      </w:r>
    </w:p>
    <w:p>
      <w:pPr>
        <w:spacing w:before="120" w:after="60" w:line="259" w:lineRule="auto"/>
        <w:jc w:val="left"/>
      </w:pPr>
      <w:r>
        <w:rPr>
          <w:rFonts w:ascii="Times New Roman" w:hAnsi="Times New Roman"/>
          <w:b/>
          <w:sz w:val="22"/>
        </w:rPr>
        <w:t>Herrn Rechtsanwalt</w:t>
      </w:r>
    </w:p>
    <w:p>
      <w:pPr>
        <w:spacing w:before="120" w:after="60" w:line="259" w:lineRule="auto"/>
        <w:jc w:val="left"/>
      </w:pPr>
      <w:r>
        <w:rPr>
          <w:rFonts w:ascii="Times New Roman" w:hAnsi="Times New Roman"/>
          <w:b/>
          <w:sz w:val="22"/>
        </w:rPr>
        <w:t>Dr. Carsten Hellwege</w:t>
      </w:r>
    </w:p>
    <w:p>
      <w:pPr>
        <w:spacing w:before="120" w:after="60" w:line="259" w:lineRule="auto"/>
        <w:jc w:val="left"/>
      </w:pPr>
      <w:r>
        <w:rPr>
          <w:rFonts w:ascii="Times New Roman" w:hAnsi="Times New Roman"/>
          <w:b/>
          <w:sz w:val="22"/>
        </w:rPr>
        <w:t>— als Insolvenzverwalter über das Vermögen der Vondering Metallform GmbH —</w:t>
      </w:r>
    </w:p>
    <w:p>
      <w:pPr>
        <w:spacing w:before="120" w:after="60" w:line="259" w:lineRule="auto"/>
        <w:jc w:val="left"/>
      </w:pPr>
      <w:r>
        <w:rPr>
          <w:rFonts w:ascii="Times New Roman" w:hAnsi="Times New Roman"/>
          <w:b/>
          <w:sz w:val="22"/>
        </w:rPr>
        <w:t>Bismarckstraße 82</w:t>
      </w:r>
    </w:p>
    <w:p>
      <w:pPr>
        <w:spacing w:line="259" w:lineRule="auto" w:after="60"/>
        <w:jc w:val="left"/>
      </w:pPr>
      <w:r>
        <w:t>41061 Mönchengladbach</w:t>
      </w:r>
    </w:p>
    <w:p>
      <w:pPr>
        <w:spacing w:line="259" w:lineRule="auto" w:after="60"/>
        <w:jc w:val="left"/>
      </w:pPr>
      <w:r>
        <w:rPr>
          <w:b/>
        </w:rPr>
        <w:t>Betreff: Insolvenzverfahren Vondering Metallform GmbH (Amtsgericht Mönchengladbach, 32 IN 71/26) — Ihre Anfechtungsschreiben vom 15.06.2026; Ihr Zeichen 220/26 CH</w:t>
      </w:r>
    </w:p>
    <w:p>
      <w:pPr>
        <w:spacing w:line="259" w:lineRule="auto" w:after="60"/>
        <w:jc w:val="left"/>
      </w:pPr>
      <w:r>
        <w:t>Sehr geehrter Herr Kollege Dr. Hellwege,</w:t>
      </w:r>
    </w:p>
    <w:p>
      <w:pPr>
        <w:spacing w:line="259" w:lineRule="auto" w:after="60"/>
        <w:jc w:val="left"/>
      </w:pPr>
      <w:r>
        <w:t>wir zeigen an, dass uns die Rheinpark Gewerbeimmobilien GmbH &amp; Co. KG sowie Herr Stefan Vondering, dieser zugleich als Inhaber der Vondering Immobilien e.K., mit der Wahrnehmung ihrer Interessen beauftragt haben. Ordnungsgemäße Bevollmächtigung wird anwaltlich versichert. Die mit Ihren Schreiben vom 15.06.2026 geltend gemachten Ansprüche weisen wir namens beider Mandanten zurück.</w:t>
      </w:r>
    </w:p>
    <w:p>
      <w:pPr>
        <w:spacing w:line="259" w:lineRule="auto" w:after="60"/>
        <w:jc w:val="left"/>
      </w:pPr>
      <w:r>
        <w:t>1 Keine Gläubigerbenachteiligung durch den Grundstückskaufvertrag (§ 129 Abs. 1 InsO)</w:t>
      </w:r>
    </w:p>
    <w:p>
      <w:pPr>
        <w:spacing w:line="259" w:lineRule="auto" w:after="60"/>
        <w:jc w:val="left"/>
      </w:pPr>
      <w:r>
        <w:t>1.1 Die Anfechtung des Kaufvertrags scheitert bereits an der fehlenden Gläubigerbenachteiligung. Das Grundstück war mit einer Grundschuld über 2.100.000,00 EUR nebst 15 Prozent Zinsen jährlich und einer einmaligen Nebenleistung von 5 Prozent belastet. Der dingliche Haftungsumfang der Grundschuld überstieg damit den von Ihnen selbst zugrunde gelegten Verkehrswert von 1.850.000,00 EUR bei weitem. Ein wertausschöpfend belastetes Grundstück gehört wirtschaftlich nicht zum haftenden Vermögen des Schuldners; seine Veräußerung kann die Zugriffslage der Insolvenzgläubiger nicht verschlechtern. Im Zwangsversteigerungsfall wäre für die Masse kein Erlösanteil verblieben, zumal die Grundschuldgläubigerin berechtigt gewesen wäre, auch die dinglichen Zinsen für mehrere Jahre geltend zu machen.</w:t>
      </w:r>
    </w:p>
    <w:p>
      <w:pPr>
        <w:spacing w:line="259" w:lineRule="auto" w:after="60"/>
        <w:jc w:val="left"/>
      </w:pPr>
      <w:r>
        <w:t>1.2 Soweit Sie auf die Valutierung mit lediglich 1.790.000,00 EUR abstellen, verkennen Sie, dass die Sicherungszweckerklärung vom 14.03.2018 sämtliche bestehenden und künftigen Forderungen der Niederrhein-Bank AG aus der Geschäftsverbindung sicherte. Der von Ihnen bemühte Rückgewähranspruch war daher kein feststehender Vermögenswert, sondern stand unter dem Vorbehalt jeder weiteren Kreditinanspruchnahme und der Abrechnung der Bank einschließlich Zinsen und Kosten.</w:t>
      </w:r>
    </w:p>
    <w:p>
      <w:pPr>
        <w:spacing w:line="259" w:lineRule="auto" w:after="60"/>
        <w:jc w:val="left"/>
      </w:pPr>
      <w:r>
        <w:t>1.3 Der Vorwurf einer Veräußerung unter Wert liegt neben der Sache. Der Kaufpreis entsprach exakt dem von einer öffentlich bestellten und vereidigten Sachverständigen ermittelten Verkehrswert. Der Marktanpassungsabschlag ist Bestandteil der gutachterlichen Wertermittlung, die die konkreten Marktverhältnisse — einschließlich der Vermarktungsdauer — abzubilden hat; einen „wahren Wert" jenseits des erzielbaren Marktpreises gibt es nicht. Unsere Mandantin war überdies die einzige Interessentin, die bereit war, das Objekt bei fortbestehender Nutzung durch die Verkäuferin als Mieterin zu erwerben; gerade der Abschluss des Mietvertrags hat der Schuldnerin die Betriebsfortführung überhaupt erst ermöglicht und die Masse um Verwertungskosten entlastet.</w:t>
      </w:r>
    </w:p>
    <w:p>
      <w:pPr>
        <w:spacing w:line="259" w:lineRule="auto" w:after="60"/>
        <w:jc w:val="left"/>
      </w:pPr>
      <w:r>
        <w:t>1.4 Unserer Mandantin fehlte im Übrigen jede Kenntnis von einem angeblichen Benachteiligungsvorsatz. Sie kannte weder die Kontoführung noch die Rückstände der Schuldnerin; die Formulierung im Gutachten über die „Rückführung fälliger Bankverbindlichkeiten" beschreibt einen bei Gewerbeimmobilientransaktionen alltäglichen Vorgang und lässt nicht auf Zahlungsunfähigkeit schließen.</w:t>
      </w:r>
    </w:p>
    <w:p>
      <w:pPr>
        <w:spacing w:line="259" w:lineRule="auto" w:after="60"/>
        <w:jc w:val="left"/>
      </w:pPr>
      <w:r>
        <w:t>2 Zur Zahlung an Herrn Stefan Vondering</w:t>
      </w:r>
    </w:p>
    <w:p>
      <w:pPr>
        <w:spacing w:line="259" w:lineRule="auto" w:after="60"/>
        <w:jc w:val="left"/>
      </w:pPr>
      <w:r>
        <w:t>2.1 Die Zahlung von 60.000,00 EUR war nicht unentgeltlich. Herr Vondering hat den Kontakt zwischen seinem Bruder und Herrn Casparius bereits im Sommer 2025 anlässlich einer Veranstaltung des Golfclubs Rheydter Land angebahnt und die Transaktion anschließend begleitet, insbesondere die Unterlagen für die Käuferseite zusammengestellt, die Besichtigungen am 02.10.2025 und 09.10.2025 organisiert und die Verhandlung des Mietvertrags vorbereitet. Eine Provision von rund 3,2 Prozent des Kaufpreises hält sich im Rahmen des bei Gewerbeobjekten Üblichen. Dass die schriftliche Fixierung erst am 05.11.2025 erfolgte, ist unschädlich; die Vereinbarung bestätigte eine bereits zuvor mündlich getroffene Abrede.</w:t>
      </w:r>
    </w:p>
    <w:p>
      <w:pPr>
        <w:spacing w:line="259" w:lineRule="auto" w:after="60"/>
        <w:jc w:val="left"/>
      </w:pPr>
      <w:r>
        <w:t>2.2 Die Erklärung im Notarvertrag, Maklerkosten seien „nicht angefallen", bezog sich ersichtlich allein auf eine von der Käuferin geschuldete Maklerprovision und steht der Innenprovision der Verkäuferin nicht entgegen; das stellt Ziffer 4.2 der Urkunde selbst klar.</w:t>
      </w:r>
    </w:p>
    <w:p>
      <w:pPr>
        <w:spacing w:line="259" w:lineRule="auto" w:after="60"/>
        <w:jc w:val="left"/>
      </w:pPr>
      <w:r>
        <w:t>2.3 Für einen Gläubigerbenachteiligungsvorsatz der Schuldnerin und erst recht für eine Kenntnis unseres Mandanten hiervon tragen Sie die Darlegungs- und Beweislast. Der von Ihnen übersandte, von Ihnen selbst rekonstruierte Liquiditätsstatus ist als Parteivortrag nicht geeignet, eine seit April 2025 bestehende Zahlungsunfähigkeit zu belegen; er steht zudem in offenem Widerspruch zu den Angaben des Geschäftsführers im Eigenantrag, wonach die Zahlungsunfähigkeit erst Anfang Februar 2026 eingetreten ist.</w:t>
      </w:r>
    </w:p>
    <w:p>
      <w:pPr>
        <w:spacing w:line="259" w:lineRule="auto" w:after="60"/>
        <w:jc w:val="left"/>
      </w:pPr>
      <w:r>
        <w:t>3 Ergebnis</w:t>
      </w:r>
    </w:p>
    <w:p>
      <w:pPr>
        <w:spacing w:line="259" w:lineRule="auto" w:after="60"/>
        <w:jc w:val="left"/>
      </w:pPr>
      <w:r>
        <w:t>Beide Mandanten lehnen die geforderten Zahlungen und die Rückauflassung ab. Sollten Sie Klage erheben, werden wir uns mit allen zur Verfügung stehenden Mitteln verteidigen. Gesprächsbereitschaft für eine vergleichsweise Gesamtlösung besteht gleichwohl; insoweit regen wir eine Besprechung nach der Sommerpause an.</w:t>
      </w:r>
    </w:p>
    <w:p>
      <w:pPr>
        <w:spacing w:line="259" w:lineRule="auto" w:after="60"/>
        <w:jc w:val="left"/>
      </w:pPr>
      <w:r>
        <w:t>Mit freundlichen kollegialen Grüßen</w:t>
      </w:r>
    </w:p>
    <w:p>
      <w:pPr>
        <w:spacing w:line="259" w:lineRule="auto" w:after="60"/>
        <w:jc w:val="left"/>
      </w:pPr>
      <w:r>
        <w:t>Dr. Leo Brandstätter</w:t>
      </w:r>
    </w:p>
    <w:p>
      <w:pPr>
        <w:spacing w:line="259" w:lineRule="auto" w:after="60"/>
        <w:jc w:val="left"/>
      </w:pPr>
      <w:r>
        <w:t>Rechtsanwalt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