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59" w:lineRule="auto" w:after="60"/>
      </w:pPr>
      <w:r>
        <w:rPr>
          <w:rFonts w:ascii="Times New Roman" w:hAnsi="Times New Roman"/>
        </w:rPr>
        <w:t>Kurzgutachten zur wirtschaftlichen Lage und Fortbestehensprognose der Fuldablick Baustoffhandel GmbH</w:t>
      </w:r>
    </w:p>
    <w:p>
      <w:pPr>
        <w:spacing w:before="120" w:after="60" w:line="259" w:lineRule="auto"/>
        <w:jc w:val="left"/>
      </w:pPr>
      <w:r>
        <w:rPr>
          <w:rFonts w:ascii="Times New Roman" w:hAnsi="Times New Roman"/>
          <w:b/>
          <w:sz w:val="22"/>
        </w:rPr>
        <w:t>Brebeck &amp; Cie. Wirtschaftsprüfungsgesellschaft mbH</w:t>
      </w:r>
    </w:p>
    <w:p>
      <w:pPr>
        <w:spacing w:before="120" w:after="60" w:line="259" w:lineRule="auto"/>
        <w:jc w:val="left"/>
      </w:pPr>
      <w:r>
        <w:rPr>
          <w:rFonts w:ascii="Times New Roman" w:hAnsi="Times New Roman"/>
          <w:b/>
          <w:sz w:val="22"/>
        </w:rPr>
        <w:t>Bockenheimer Landstraße 88, 60323 Frankfurt am Main</w:t>
      </w:r>
    </w:p>
    <w:p>
      <w:pPr>
        <w:spacing w:before="120" w:after="60" w:line="259" w:lineRule="auto"/>
        <w:jc w:val="left"/>
      </w:pPr>
      <w:r>
        <w:rPr>
          <w:rFonts w:ascii="Times New Roman" w:hAnsi="Times New Roman"/>
          <w:b/>
          <w:sz w:val="22"/>
        </w:rPr>
        <w:t>Wirtschaftsprüfer Dr. Andreas Brebeck — Wirtschaftsprüferin Nadja Kilimann</w:t>
      </w:r>
    </w:p>
    <w:p>
      <w:pPr>
        <w:spacing w:before="120" w:after="60" w:line="259" w:lineRule="auto"/>
        <w:jc w:val="left"/>
      </w:pPr>
      <w:r>
        <w:rPr>
          <w:rFonts w:ascii="Times New Roman" w:hAnsi="Times New Roman"/>
          <w:b/>
          <w:sz w:val="22"/>
        </w:rPr>
        <w:t>Auftrags-Nr.: 2024-417 — Vertraulich</w:t>
      </w:r>
    </w:p>
    <w:p>
      <w:pPr>
        <w:spacing w:before="120" w:after="60" w:line="259" w:lineRule="auto"/>
        <w:jc w:val="left"/>
      </w:pPr>
      <w:r>
        <w:rPr>
          <w:rFonts w:ascii="Times New Roman" w:hAnsi="Times New Roman"/>
          <w:b/>
          <w:sz w:val="22"/>
        </w:rPr>
        <w:t>Fuldablick Baustoffhandel GmbH</w:t>
      </w:r>
    </w:p>
    <w:p>
      <w:pPr>
        <w:spacing w:before="120" w:after="60" w:line="259" w:lineRule="auto"/>
        <w:jc w:val="left"/>
      </w:pPr>
      <w:r>
        <w:rPr>
          <w:rFonts w:ascii="Times New Roman" w:hAnsi="Times New Roman"/>
          <w:b/>
          <w:sz w:val="22"/>
        </w:rPr>
        <w:t>Herrn Geschäftsführer Matthias Grebe</w:t>
      </w:r>
    </w:p>
    <w:p>
      <w:pPr>
        <w:spacing w:before="120" w:after="60" w:line="259" w:lineRule="auto"/>
        <w:jc w:val="left"/>
      </w:pPr>
      <w:r>
        <w:rPr>
          <w:rFonts w:ascii="Times New Roman" w:hAnsi="Times New Roman"/>
          <w:b/>
          <w:sz w:val="22"/>
        </w:rPr>
        <w:t>Leipziger Straße 312</w:t>
      </w:r>
    </w:p>
    <w:p>
      <w:pPr>
        <w:spacing w:line="259" w:lineRule="auto" w:after="60"/>
        <w:jc w:val="left"/>
      </w:pPr>
      <w:r>
        <w:t>34123 Kassel</w:t>
      </w:r>
    </w:p>
    <w:p>
      <w:pPr>
        <w:spacing w:line="259" w:lineRule="auto" w:after="60"/>
        <w:jc w:val="left"/>
      </w:pPr>
      <w:r>
        <w:t>Frankfurt am Main, 10.12.2024</w:t>
      </w:r>
    </w:p>
    <w:p>
      <w:pPr>
        <w:spacing w:line="259" w:lineRule="auto" w:after="60"/>
        <w:jc w:val="left"/>
      </w:pPr>
      <w:r>
        <w:rPr>
          <w:b/>
        </w:rPr>
        <w:t>Betreff: Kurzgutachten zur Beurteilung der Insolvenznähe und zur Fortbestehensprognose zum Stichtag 30.11.2024</w:t>
      </w:r>
    </w:p>
    <w:p>
      <w:pPr>
        <w:pStyle w:val="Heading2"/>
        <w:spacing w:line="259" w:lineRule="auto" w:after="60"/>
      </w:pPr>
      <w:r>
        <w:rPr>
          <w:rFonts w:ascii="Times New Roman" w:hAnsi="Times New Roman"/>
        </w:rPr>
        <w:t>1 Auftrag und Auftragsdurchführung</w:t>
      </w:r>
    </w:p>
    <w:p>
      <w:pPr>
        <w:spacing w:line="259" w:lineRule="auto" w:after="60"/>
        <w:jc w:val="left"/>
      </w:pPr>
      <w:r>
        <w:t>Mit Auftragsbestätigung vom 04.11.2024 hat uns die Fuldablick Baustoffhandel GmbH beauftragt, auf Grundlage der Buchführung, der Finanzplanung der Geschäftsführung und der uns erteilten Auskünfte die wirtschaftliche Lage der Gesellschaft zum Stichtag 30.11.2024 zu beurteilen und eine Aussage zur Fortbestehensprognose zu treffen. Unsere Untersuchung fand vom 11.11.2024 bis zum 05.12.2024 statt. Es gelten die Allgemeinen Auftragsbedingungen für Wirtschaftsprüfer in der Fassung vom 01.01.2024. Eine Prüfung im Sinne einer Jahresabschlussprüfung war nicht Gegenstand des Auftrags.</w:t>
      </w:r>
    </w:p>
    <w:p>
      <w:pPr>
        <w:pStyle w:val="Heading2"/>
        <w:spacing w:line="259" w:lineRule="auto" w:after="60"/>
      </w:pPr>
      <w:r>
        <w:rPr>
          <w:rFonts w:ascii="Times New Roman" w:hAnsi="Times New Roman"/>
        </w:rPr>
        <w:t>2 Zusammenfassung der Ergebnisse</w:t>
      </w:r>
    </w:p>
    <w:p>
      <w:pPr>
        <w:pStyle w:val="Heading2"/>
        <w:spacing w:line="259" w:lineRule="auto" w:after="60"/>
      </w:pPr>
      <w:r>
        <w:rPr>
          <w:rFonts w:ascii="Times New Roman" w:hAnsi="Times New Roman"/>
        </w:rPr>
        <w:t>2.1 Zahlungsfähigkeit zum Stichtag</w:t>
      </w:r>
    </w:p>
    <w:p>
      <w:pPr>
        <w:spacing w:line="259" w:lineRule="auto" w:after="60"/>
        <w:jc w:val="left"/>
      </w:pPr>
      <w:r>
        <w:t xml:space="preserve">Zum Stichtag 30.11.2024 war die Gesellschaft </w:t>
      </w:r>
      <w:r>
        <w:rPr>
          <w:b/>
        </w:rPr>
        <w:t>zahlungsfähig, jedoch drohend zahlungsunfähig im Sinne des § 18 Abs. 2 InsO</w:t>
      </w:r>
      <w:r>
        <w:t>. Der stichtagsbezogene Finanzstatus weist verfügbare Mittel von 114.200,00 EUR (liquide Mittel zuzüglich freier Kontokorrentlinie) und fällige Verbindlichkeiten von 121.000,00 EUR aus; die Unterdeckung von 6.800,00 EUR (5,6 Prozent) liegt unterhalb der Geringfügigkeitsschwelle und war nach der Finanzplanung binnen dreier Wochen ausgleichbar. Die integrierte Finanzplanung für den Prognosezeitraum bis zum 31.12.2025 zeigt jedoch ab Februar 2025 eine sich öffnende und ohne Zuführung neuer Mittel nicht mehr schließende Liquiditätslücke, ausgelöst durch den Wegfall zweier Rahmenkunden im Fassadengeschäft, gestiegene Einkaufspreise und die auslaufende Duldung der Hausbank.</w:t>
      </w:r>
    </w:p>
    <w:p>
      <w:pPr>
        <w:pStyle w:val="Heading2"/>
        <w:spacing w:line="259" w:lineRule="auto" w:after="60"/>
      </w:pPr>
      <w:r>
        <w:rPr>
          <w:rFonts w:ascii="Times New Roman" w:hAnsi="Times New Roman"/>
        </w:rPr>
        <w:t>2.2 Überschuldungsstatus</w:t>
      </w:r>
    </w:p>
    <w:p>
      <w:pPr>
        <w:spacing w:line="259" w:lineRule="auto" w:after="60"/>
        <w:jc w:val="left"/>
      </w:pPr>
      <w:r>
        <w:t>Zu Fortführungswerten ergibt sich zum 30.11.2024 ein nicht durch Eigenkapital gedeckter Fehlbetrag von 187.400,00 EUR. Der Ansatz von Fortführungswerten ist nur gerechtfertigt, wenn die Fortbestehensprognose positiv ist.</w:t>
      </w:r>
    </w:p>
    <w:p>
      <w:pPr>
        <w:pStyle w:val="Heading2"/>
        <w:spacing w:line="259" w:lineRule="auto" w:after="60"/>
      </w:pPr>
      <w:r>
        <w:rPr>
          <w:rFonts w:ascii="Times New Roman" w:hAnsi="Times New Roman"/>
        </w:rPr>
        <w:t>2.3 Fortbestehensprognose</w:t>
      </w:r>
    </w:p>
    <w:p>
      <w:pPr>
        <w:spacing w:line="259" w:lineRule="auto" w:after="60"/>
        <w:jc w:val="left"/>
      </w:pPr>
      <w:r>
        <w:t xml:space="preserve">Die Fortbestehensprognose ist </w:t>
      </w:r>
      <w:r>
        <w:rPr>
          <w:b/>
        </w:rPr>
        <w:t>nur unter einer Bedingung positiv</w:t>
      </w:r>
      <w:r>
        <w:t xml:space="preserve">: Die Gesellschafter führen der Gesellschaft bis spätestens </w:t>
      </w:r>
      <w:r>
        <w:rPr>
          <w:b/>
        </w:rPr>
        <w:t>31.03.2025</w:t>
      </w:r>
      <w:r>
        <w:t xml:space="preserve"> einen Zuschuss oder eine gleichwertige Einlage von mindestens </w:t>
      </w:r>
      <w:r>
        <w:rPr>
          <w:b/>
        </w:rPr>
        <w:t>350.000,00 EUR</w:t>
      </w:r>
      <w:r>
        <w:t xml:space="preserve"> zu. In diesem Fall ist die durchgehende Zahlungsfähigkeit im Prognosezeitraum überwiegend wahrscheinlich, und die Gesellschaft kann die begonnene Sortimentsstraffung aus eigener Kraft abschließen. </w:t>
      </w:r>
      <w:r>
        <w:rPr>
          <w:b/>
        </w:rPr>
        <w:t>Unterbleibt die Zuführung, ist die Fortbestehensprognose negativ</w:t>
      </w:r>
      <w:r>
        <w:t>; nach der Finanzplanung tritt die Zahlungsunfähigkeit dann im Verlauf des ersten Quartals 2025 ein, und der Überschuldungsstatus wäre zu Liquidationswerten aufzustellen, was den Fehlbetrag auf rund 411.000,00 EUR erhöhen würde.</w:t>
      </w:r>
    </w:p>
    <w:p>
      <w:pPr>
        <w:pStyle w:val="Heading2"/>
        <w:spacing w:line="259" w:lineRule="auto" w:after="60"/>
      </w:pPr>
      <w:r>
        <w:rPr>
          <w:rFonts w:ascii="Times New Roman" w:hAnsi="Times New Roman"/>
        </w:rPr>
        <w:t>3 Wesentliche Annahmen und Vorbehalte</w:t>
      </w:r>
    </w:p>
    <w:p>
      <w:pPr>
        <w:spacing w:line="259" w:lineRule="auto" w:after="60"/>
        <w:jc w:val="left"/>
      </w:pPr>
      <w:r>
        <w:t xml:space="preserve">Unsere Beurteilung beruht auf der uns vorgelegten Finanzplanung der Geschäftsführung vom 18.11.2024, deren Absatzannahmen wir plausibilisiert, aber nicht geprüft haben, sowie auf der Erklärung der Gesellschafter vom 21.11.2024, eine Zuführung von Mitteln „wohlwollend zu prüfen". Eine rechtsverbindliche Finanzierungszusage lag bei Abschluss unserer Untersuchung </w:t>
      </w:r>
      <w:r>
        <w:rPr>
          <w:b/>
        </w:rPr>
        <w:t>nicht</w:t>
      </w:r>
      <w:r>
        <w:t xml:space="preserve"> vor. Wir empfehlen der Geschäftsführung, den Eintritt der Bedingung fortlaufend zu überwachen, den Finanzstatus mindestens monatlich fortzuschreiben und bei Ausbleiben des Zuschusses unverzüglich insolvenzrechtlichen Rat einzuholen; auf die Antragspflicht des § 15a InsO wird hingewiesen.</w:t>
      </w:r>
    </w:p>
    <w:p>
      <w:pPr>
        <w:pStyle w:val="Heading2"/>
        <w:spacing w:line="259" w:lineRule="auto" w:after="60"/>
      </w:pPr>
      <w:r>
        <w:rPr>
          <w:rFonts w:ascii="Times New Roman" w:hAnsi="Times New Roman"/>
        </w:rPr>
        <w:t>4 Schlussbemerkung</w:t>
      </w:r>
    </w:p>
    <w:p>
      <w:pPr>
        <w:spacing w:line="259" w:lineRule="auto" w:after="60"/>
        <w:jc w:val="left"/>
      </w:pPr>
      <w:r>
        <w:t>Dieses Kurzgutachten ist zur Vorlage bei der Hausbank und den Gesellschaftern bestimmt. Eine Weitergabe an sonstige Dritte bedarf unserer Zustimmung. Es ersetzt keine fortlaufende insolvenzrechtliche Selbstprüfung der Geschäftsführung.</w:t>
      </w:r>
    </w:p>
    <w:p>
      <w:pPr>
        <w:spacing w:line="259" w:lineRule="auto" w:after="60"/>
        <w:jc w:val="left"/>
      </w:pPr>
      <w:r>
        <w:t>Brebeck &amp; Cie. Wirtschaftsprüfungsgesellschaft mbH</w:t>
      </w:r>
    </w:p>
    <w:p>
      <w:pPr>
        <w:spacing w:line="259" w:lineRule="auto" w:after="60"/>
        <w:jc w:val="left"/>
      </w:pPr>
      <w:r>
        <w:t>Dr. Andreas Brebeck, Wirtschaftsprüfer — Nadja Kilimann, Wirtschaftsprüferin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