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Übereignungs- und Tilgungsvereinbarung</w:t>
      </w:r>
    </w:p>
    <w:p>
      <w:pPr>
        <w:spacing w:before="120" w:after="60" w:line="259" w:lineRule="auto"/>
        <w:jc w:val="left"/>
      </w:pPr>
      <w:r>
        <w:rPr>
          <w:rFonts w:ascii="Times New Roman" w:hAnsi="Times New Roman"/>
          <w:b/>
          <w:sz w:val="22"/>
        </w:rPr>
        <w:t>zwischen</w:t>
      </w:r>
    </w:p>
    <w:p>
      <w:pPr>
        <w:spacing w:line="259" w:lineRule="auto" w:after="60"/>
        <w:jc w:val="left"/>
      </w:pPr>
      <w:r>
        <w:t xml:space="preserve">der </w:t>
      </w:r>
      <w:r>
        <w:rPr>
          <w:b/>
        </w:rPr>
        <w:t>Fuldablick Baustoffhandel GmbH</w:t>
      </w:r>
      <w:r>
        <w:t>, Leipziger Straße 312, 34123 Kassel, vertreten durch den einzelvertretungsberechtigten Geschäftsführer Matthias Grebe — nachfolgend „Fuldablick" —</w:t>
      </w:r>
    </w:p>
    <w:p>
      <w:pPr>
        <w:spacing w:before="120" w:after="60" w:line="259" w:lineRule="auto"/>
        <w:jc w:val="left"/>
      </w:pPr>
      <w:r>
        <w:rPr>
          <w:rFonts w:ascii="Times New Roman" w:hAnsi="Times New Roman"/>
          <w:b/>
          <w:sz w:val="22"/>
        </w:rPr>
        <w:t>und</w:t>
      </w:r>
    </w:p>
    <w:p>
      <w:pPr>
        <w:spacing w:line="259" w:lineRule="auto" w:after="60"/>
        <w:jc w:val="left"/>
      </w:pPr>
      <w:r>
        <w:t xml:space="preserve">der </w:t>
      </w:r>
      <w:r>
        <w:rPr>
          <w:b/>
        </w:rPr>
        <w:t>Dämmtec Werra GmbH</w:t>
      </w:r>
      <w:r>
        <w:t>, Am Werrabogen 14, 37269 Eschwege, vertreten durch den einzelvertretungsberechtigten Geschäftsführer Ralf Hillebrand — nachfolgend „Dämmtec" —</w:t>
      </w:r>
    </w:p>
    <w:p>
      <w:pPr>
        <w:pStyle w:val="Heading2"/>
        <w:spacing w:before="120" w:after="60" w:line="259" w:lineRule="auto"/>
      </w:pPr>
      <w:r>
        <w:rPr>
          <w:rFonts w:ascii="Times New Roman" w:hAnsi="Times New Roman"/>
          <w:b/>
          <w:sz w:val="22"/>
        </w:rPr>
        <w:t>1 Vorbemerkung</w:t>
      </w:r>
    </w:p>
    <w:p>
      <w:pPr>
        <w:spacing w:line="259" w:lineRule="auto" w:after="60"/>
        <w:jc w:val="left"/>
      </w:pPr>
      <w:r>
        <w:t>Die Dämmtec hat gegen die Fuldablick fällige Kaufpreisforderungen aus Warenlieferungen in Höhe von insgesamt 118.000,00 EUR gemäß den Rechnungen RE-2025-4411, RE-2025-4688, RE-2025-4902, RE-2025-5177 und RE-2025-5349 (Aufstellung als Anlage 1). Die Fuldablick ist derzeit nicht in der Lage, diese Forderungen durch Geldzahlung zu erfüllen. Die Parteien wollen die Forderungen durch Übereignung von Warenbeständen und Abtretung von Kundenforderungen vollständig zum Erlöschen bringen.</w:t>
      </w:r>
    </w:p>
    <w:p>
      <w:pPr>
        <w:pStyle w:val="Heading2"/>
        <w:spacing w:before="120" w:after="60" w:line="259" w:lineRule="auto"/>
      </w:pPr>
      <w:r>
        <w:rPr>
          <w:rFonts w:ascii="Times New Roman" w:hAnsi="Times New Roman"/>
          <w:b/>
          <w:sz w:val="22"/>
        </w:rPr>
        <w:t>2 Übereignung des Warenlagers</w:t>
      </w:r>
    </w:p>
    <w:p>
      <w:pPr>
        <w:spacing w:line="259" w:lineRule="auto" w:after="60"/>
        <w:jc w:val="left"/>
      </w:pPr>
      <w:r>
        <w:t>Die Fuldablick übereignet der Dämmtec das in der Lagerliste vom 17.12.2025 (Anlage 2) bezeichnete Warenlager an Dämmplatten (665 Paletten, Buchwert 96.000,00 EUR), lagernd in Halle 2 und auf dem überdachten Außenlager des Betriebsgrundstücks Leipziger Straße 312, Kassel. Die Parteien sind sich über den Eigentumsübergang einig. Die Übergabe wird dadurch ersetzt, dass die Fuldablick die Bestände ab sofort unentgeltlich für die Dämmtec verwahrt; die Abholung durch die Dämmtec erfolgt am 19.12.2025. Die Fuldablick versichert, dass die Bestände in ihrem Alleineigentum stehen, insbesondere die Kaufpreise aus den zugrunde liegenden Einkäufen bei der Dämmtec zwar offen, verlängerte oder erweiterte Eigentumsvorbehalte Dritter aber nicht begründet sind.</w:t>
      </w:r>
    </w:p>
    <w:p>
      <w:pPr>
        <w:pStyle w:val="Heading2"/>
        <w:spacing w:line="259" w:lineRule="auto" w:after="60"/>
      </w:pPr>
      <w:r>
        <w:rPr>
          <w:rFonts w:ascii="Times New Roman" w:hAnsi="Times New Roman"/>
        </w:rPr>
        <w:t>3 Abtretung von Kundenforderungen</w:t>
      </w:r>
    </w:p>
    <w:p>
      <w:pPr>
        <w:spacing w:line="259" w:lineRule="auto" w:after="60"/>
        <w:jc w:val="left"/>
      </w:pPr>
      <w:r>
        <w:t>Die Fuldablick tritt der Dämmtec ferner folgende Forderungen ab, die diese annimmt: erstens die Forderung gegen die Hochbau Menzel GmbH, Vellmar, aus der Rechnung RE-2025-5011 vom 30.10.2025 in Höhe von 14.650,00 EUR; zweitens die Forderung gegen die Zimmerei Brandau e.K., Baunatal, aus der Rechnung RE-2025-5233 vom 14.11.2025 in Höhe von 9.720,00 EUR. Die Fuldablick steht für den rechtlichen Bestand der Forderungen ein, nicht für die Bonität der Drittschuldner. Die Fuldablick wird die Drittschuldner unverzüglich schriftlich von der Abtretung unterrichten.</w:t>
      </w:r>
    </w:p>
    <w:p>
      <w:pPr>
        <w:pStyle w:val="Heading2"/>
        <w:spacing w:line="259" w:lineRule="auto" w:after="60"/>
      </w:pPr>
      <w:r>
        <w:rPr>
          <w:rFonts w:ascii="Times New Roman" w:hAnsi="Times New Roman"/>
        </w:rPr>
        <w:t>4 Tilgungswirkung</w:t>
      </w:r>
    </w:p>
    <w:p>
      <w:pPr>
        <w:spacing w:line="259" w:lineRule="auto" w:after="60"/>
        <w:jc w:val="left"/>
      </w:pPr>
      <w:r>
        <w:t xml:space="preserve">Die Parteien sind sich einig, dass die Übereignung nach Ziffer 2 (angesetzt mit 94.000,00 EUR) und die Abtretungen nach Ziffer 3 (angesetzt mit 24.000,00 EUR) </w:t>
      </w:r>
      <w:r>
        <w:rPr>
          <w:b/>
        </w:rPr>
        <w:t>an Erfüllungs statt</w:t>
      </w:r>
      <w:r>
        <w:t xml:space="preserve"> angenommen werden und die unter Ziffer 1 bezeichneten Forderungen der Dämmtec in Höhe von 118.000,00 EUR damit vollständig erlöschen. Ein Rückgriff wegen eines Mindererlöses aus der Verwertung des Lagers ist ausgeschlossen; ein etwaiger Mehrerlös verbleibt der Dämmtec. Realisiert die Dämmtec aus den abgetretenen Forderungen binnen sechs Monaten weniger als 24.000,00 EUR, gilt auch insoweit keine Nachschusspflicht der Fuldablick.</w:t>
      </w:r>
    </w:p>
    <w:p>
      <w:pPr>
        <w:pStyle w:val="Heading2"/>
        <w:spacing w:line="259" w:lineRule="auto" w:after="60"/>
      </w:pPr>
      <w:r>
        <w:rPr>
          <w:rFonts w:ascii="Times New Roman" w:hAnsi="Times New Roman"/>
        </w:rPr>
        <w:t>5 Wiederaufnahme der Belieferung</w:t>
      </w:r>
    </w:p>
    <w:p>
      <w:pPr>
        <w:spacing w:line="259" w:lineRule="auto" w:after="60"/>
        <w:jc w:val="left"/>
      </w:pPr>
      <w:r>
        <w:t>Die Dämmtec hebt den seit dem 27.11.2025 bestehenden Lieferstopp mit Wirksamwerden dieser Vereinbarung auf und beliefert die Fuldablick ab Januar 2026 gegen Vorkasse.</w:t>
      </w:r>
    </w:p>
    <w:p>
      <w:pPr>
        <w:pStyle w:val="Heading2"/>
        <w:spacing w:line="259" w:lineRule="auto" w:after="60"/>
      </w:pPr>
      <w:r>
        <w:rPr>
          <w:rFonts w:ascii="Times New Roman" w:hAnsi="Times New Roman"/>
        </w:rPr>
        <w:t>6 Schlussbestimmungen</w:t>
      </w:r>
    </w:p>
    <w:p>
      <w:pPr>
        <w:spacing w:line="259" w:lineRule="auto" w:after="60"/>
        <w:jc w:val="left"/>
      </w:pPr>
      <w:r>
        <w:t>Änderungen und Ergänzungen dieser Vereinbarung bedürfen der Textform; das gilt auch für die Änderung dieser Klausel. Sollte eine Bestimmung unwirksam sein oder werden, bleibt die Wirksamkeit der übrigen Bestimmungen unberührt; an die Stelle der unwirksamen Bestimmung tritt eine ihr wirtschaftlich möglichst nahekommende wirksame Regelung. Gerichtsstand ist Kassel.</w:t>
      </w:r>
    </w:p>
    <w:p>
      <w:pPr>
        <w:spacing w:line="259" w:lineRule="auto" w:after="60"/>
        <w:jc w:val="left"/>
      </w:pPr>
      <w:r>
        <w:t>Kassel, den 18.12.2025</w:t>
      </w:r>
    </w:p>
    <w:p>
      <w:pPr>
        <w:spacing w:line="259" w:lineRule="auto" w:after="60"/>
        <w:jc w:val="left"/>
      </w:pPr>
      <w:r>
        <w:t>Fuldablick Baustoffhandel GmbH, Matthias Grebe — Dämmtec Werra GmbH, Ralf Hillebrand</w:t>
      </w:r>
    </w:p>
    <w:p>
      <w:pPr>
        <w:spacing w:line="259" w:lineRule="auto" w:after="60"/>
        <w:jc w:val="left"/>
      </w:pPr>
      <w:r>
        <w:t>Anlage 1: Forderungsaufstellung (OPOS-Liste) — Anlage 2: Lagerliste vom 17.12.2025</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