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der Insolvenzverwalterin</w:t>
      </w:r>
    </w:p>
    <w:p>
      <w:pPr>
        <w:spacing w:before="120" w:after="60" w:line="259" w:lineRule="auto"/>
        <w:jc w:val="left"/>
      </w:pPr>
      <w:r>
        <w:rPr>
          <w:rFonts w:ascii="Times New Roman" w:hAnsi="Times New Roman"/>
          <w:b/>
          <w:sz w:val="22"/>
        </w:rPr>
        <w:t>Rechtsanwältin Dr. Friederike Salzwedel</w:t>
      </w:r>
    </w:p>
    <w:p>
      <w:pPr>
        <w:spacing w:before="120" w:after="60" w:line="259" w:lineRule="auto"/>
        <w:jc w:val="left"/>
      </w:pPr>
      <w:r>
        <w:rPr>
          <w:rFonts w:ascii="Times New Roman" w:hAnsi="Times New Roman"/>
          <w:b/>
          <w:sz w:val="22"/>
        </w:rPr>
        <w:t>Insolvenzverwalterin über das Vermögen der Fuldablick Baustoffhandel GmbH</w:t>
      </w:r>
    </w:p>
    <w:p>
      <w:pPr>
        <w:spacing w:before="120" w:after="60" w:line="259" w:lineRule="auto"/>
        <w:jc w:val="left"/>
      </w:pPr>
      <w:r>
        <w:rPr>
          <w:rFonts w:ascii="Times New Roman" w:hAnsi="Times New Roman"/>
          <w:b/>
          <w:sz w:val="22"/>
        </w:rPr>
        <w:t>Wilhelmshöher Allee 204, 34119 Kassel</w:t>
      </w:r>
    </w:p>
    <w:p>
      <w:pPr>
        <w:spacing w:before="120" w:after="60" w:line="259" w:lineRule="auto"/>
        <w:jc w:val="left"/>
      </w:pPr>
      <w:r>
        <w:rPr>
          <w:rFonts w:ascii="Times New Roman" w:hAnsi="Times New Roman"/>
          <w:b/>
          <w:sz w:val="22"/>
        </w:rPr>
        <w:t>Telefon 0561 40085-0 — kanzlei@salzwedel-insolvenzverwaltung.de</w:t>
      </w:r>
    </w:p>
    <w:p>
      <w:pPr>
        <w:spacing w:before="120" w:after="60" w:line="259" w:lineRule="auto"/>
        <w:jc w:val="left"/>
      </w:pPr>
      <w:r>
        <w:rPr>
          <w:rFonts w:ascii="Times New Roman" w:hAnsi="Times New Roman"/>
          <w:b/>
          <w:sz w:val="22"/>
        </w:rPr>
        <w:t>Az.: 118/26 S — Ihr Zeichen: 0533/26 AP</w:t>
      </w:r>
    </w:p>
    <w:p>
      <w:pPr>
        <w:spacing w:before="120" w:after="60" w:line="259" w:lineRule="auto"/>
        <w:jc w:val="left"/>
      </w:pPr>
      <w:r>
        <w:rPr>
          <w:rFonts w:ascii="Times New Roman" w:hAnsi="Times New Roman"/>
          <w:b/>
          <w:sz w:val="22"/>
        </w:rPr>
        <w:t>Herrn Rechtsanwalt</w:t>
      </w:r>
    </w:p>
    <w:p>
      <w:pPr>
        <w:spacing w:before="120" w:after="60" w:line="259" w:lineRule="auto"/>
        <w:jc w:val="left"/>
      </w:pPr>
      <w:r>
        <w:rPr>
          <w:rFonts w:ascii="Times New Roman" w:hAnsi="Times New Roman"/>
          <w:b/>
          <w:sz w:val="22"/>
        </w:rPr>
        <w:t>Dr. Jochen Appelt</w:t>
      </w:r>
    </w:p>
    <w:p>
      <w:pPr>
        <w:spacing w:line="259" w:lineRule="auto" w:after="60"/>
        <w:jc w:val="left"/>
      </w:pPr>
      <w:r>
        <w:t>Weender Straße 62</w:t>
      </w:r>
    </w:p>
    <w:p>
      <w:pPr>
        <w:spacing w:line="259" w:lineRule="auto" w:after="60"/>
        <w:jc w:val="left"/>
      </w:pPr>
      <w:r>
        <w:t>37073 Göttingen</w:t>
      </w:r>
    </w:p>
    <w:p>
      <w:pPr>
        <w:spacing w:line="259" w:lineRule="auto" w:after="60"/>
        <w:jc w:val="left"/>
      </w:pPr>
      <w:r>
        <w:t>Kassel, 29.06.2026</w:t>
      </w:r>
    </w:p>
    <w:p>
      <w:pPr>
        <w:spacing w:line="259" w:lineRule="auto" w:after="60"/>
        <w:jc w:val="left"/>
      </w:pPr>
      <w:r>
        <w:rPr>
          <w:b/>
        </w:rPr>
        <w:t>Betreff: Insolvenzverfahren Fuldablick Baustoffhandel GmbH (AG Kassel, 660 IN 71/26) — Ihre Erwiderung vom 15.06.2026</w:t>
      </w:r>
    </w:p>
    <w:p>
      <w:pPr>
        <w:spacing w:line="259" w:lineRule="auto" w:after="60"/>
        <w:jc w:val="left"/>
      </w:pPr>
      <w:r>
        <w:t>Sehr geehrter Herr Kollege Dr. Appelt,</w:t>
      </w:r>
    </w:p>
    <w:p>
      <w:pPr>
        <w:spacing w:line="259" w:lineRule="auto" w:after="60"/>
        <w:jc w:val="left"/>
      </w:pPr>
      <w:r>
        <w:t>Ihre Erwiderung gibt Anlass zu folgenden Klarstellungen:</w:t>
      </w:r>
    </w:p>
    <w:p>
      <w:pPr>
        <w:pStyle w:val="Heading2"/>
        <w:spacing w:line="259" w:lineRule="auto" w:after="60"/>
      </w:pPr>
      <w:r>
        <w:rPr>
          <w:rFonts w:ascii="Times New Roman" w:hAnsi="Times New Roman"/>
        </w:rPr>
        <w:t>1 Zur Zahlungsunfähigkeit am 18.12.2025</w:t>
      </w:r>
    </w:p>
    <w:p>
      <w:pPr>
        <w:spacing w:line="259" w:lineRule="auto" w:after="60"/>
        <w:jc w:val="left"/>
      </w:pPr>
      <w:r>
        <w:t>Der Liquiditätsstatus ist keine freie Parteischätzung, sondern aus den Bankkonten, der Kontokorrentabrede mit der Hausbank und den OPOS-Listen der Schuldnerin entwickelt; die zugrunde liegenden Kontoauszüge und Fälligkeitslisten liegen zur Einsicht bereit. Danach bestand vom 01.02.2025 bis zum Antragstag eine durchgehende, sich stetig vertiefende Deckungslücke; zum 15.12.2025 standen verfügbaren Mitteln von 15.900,00 EUR fällige Verbindlichkeiten von 214.800,00 EUR gegenüber. Dass die Schuldnerin einzelne Kunden noch beliefert und Barumsätze erzielt hat, widerlegt die Zahlungsunfähigkeit nicht; die Einstellung wesentlicher Zahlungen — auch gegenüber Ihrer Mandantin selbst, deren Rechnungen seit August 2025 vollständig unbezahlt blieben — indiziert sie. Der Eigenantrag des Geschäftsführers bindet die Masse nicht; seine Datierung „Mitte Januar 2026" ist mit den Zahlen unvereinbar und erklärt sich unschwer aus dem Interesse des Geschäftsführers mit Blick auf § 15a InsO. Ergänzend verweise ich auf das Kurzgutachten der Brebeck &amp; Cie. vom 10.12.2024: Die dort für die Fortbestehensprognose vorausgesetzte Mittelzuführung von 350.000,00 EUR bis zum 31.03.2025 ist unstreitig nie erfolgt.</w:t>
      </w:r>
    </w:p>
    <w:p>
      <w:pPr>
        <w:pStyle w:val="Heading2"/>
        <w:spacing w:line="259" w:lineRule="auto" w:after="60"/>
      </w:pPr>
      <w:r>
        <w:rPr>
          <w:rFonts w:ascii="Times New Roman" w:hAnsi="Times New Roman"/>
        </w:rPr>
        <w:t>2 Zur Inkongruenz</w:t>
      </w:r>
    </w:p>
    <w:p>
      <w:pPr>
        <w:spacing w:line="259" w:lineRule="auto" w:after="60"/>
        <w:jc w:val="left"/>
      </w:pPr>
      <w:r>
        <w:t xml:space="preserve">Auf die Kenntnisfrage kommt es für den Haupttatbestand nicht an; § 131 Abs. 1 Nr. 2 InsO setzt allein die objektive Zahlungsunfähigkeit voraus. Der Einwand der „Warenrücknahme" trägt auch tatsächlich nicht: Ein Rückgaberecht oder eine Rücknahmepraxis für bereits gelieferte und bezahlte Ware ist weder vereinbart noch gelebt worden; die Vereinbarung vom 18.12.2025 selbst bezeichnet die Übereignung als Leistung </w:t>
      </w:r>
      <w:r>
        <w:rPr>
          <w:b/>
        </w:rPr>
        <w:t>an Erfüllungs statt</w:t>
      </w:r>
      <w:r>
        <w:t xml:space="preserve"> auf Geldforderungen. Genau das ist der Lehrbuchfall einer Deckung, die der Gläubiger nicht in der Art zu beanspruchen hatte. Ein Bargeschäft nach § 142 InsO scheidet aus zwei selbständigen Gründen aus: Es fehlt an der Unmittelbarkeit eines Leistungsaustauschs — getilgt wurden Altverbindlichkeiten aus den Monaten August bis November 2025 —, und für inkongruente Deckungen ist § 142 InsO von vornherein nicht eröffnet. Die „Wiederbelieferung ab Januar 2026" erfolgte im Übrigen nur gegen Vorkasse und ist tatsächlich über zwei Kleinaufträge nicht hinausgekommen.</w:t>
      </w:r>
    </w:p>
    <w:p>
      <w:pPr>
        <w:pStyle w:val="Heading2"/>
        <w:spacing w:line="259" w:lineRule="auto" w:after="60"/>
      </w:pPr>
      <w:r>
        <w:rPr>
          <w:rFonts w:ascii="Times New Roman" w:hAnsi="Times New Roman"/>
        </w:rPr>
        <w:t>3 Zur Kenntnislage (hilfsweise)</w:t>
      </w:r>
    </w:p>
    <w:p>
      <w:pPr>
        <w:spacing w:line="259" w:lineRule="auto" w:after="60"/>
        <w:jc w:val="left"/>
      </w:pPr>
      <w:r>
        <w:t>Nur hilfsweise, für § 131 Abs. 1 Nr. 3 InsO: Ihre Mandantin hat neun Tage vor dem Geschäft das Lager mit ihrem Leiter Finanzen besichtigt, die leergeräumten Sortimente und den reduzierten Fuhrpark protokolliert und den erzielbaren Erlös kalkuliert. Die E-Mail Ihres Geschäftsführers vom 09.12.2025 — „bevor die Bude kippt, nehmen wir Ware" — stammt nicht von einem „einzelnen Mitarbeiter", sondern von Herrn Hillebrand selbst und war an den Vertrieb gerichtet. Die Unterlagen wurden mir von Herrn Kurrle freiwillig überlassen; ein Verwertungsverbot ist nicht ersichtlich, die Würdigung bleibt dem Gericht vorbehalten. Dass daneben auch Deutungen im Sinne einer bloßen Risikovorsorge vertreten werden können, verkenne ich nicht; darauf kommt es nach Ziffer 2 nicht an.</w:t>
      </w:r>
    </w:p>
    <w:p>
      <w:pPr>
        <w:pStyle w:val="Heading2"/>
        <w:spacing w:line="259" w:lineRule="auto" w:after="60"/>
      </w:pPr>
      <w:r>
        <w:rPr>
          <w:rFonts w:ascii="Times New Roman" w:hAnsi="Times New Roman"/>
        </w:rPr>
        <w:t>4 Zur Höhe und weiteres Vorgehen</w:t>
      </w:r>
    </w:p>
    <w:p>
      <w:pPr>
        <w:spacing w:line="259" w:lineRule="auto" w:after="60"/>
        <w:jc w:val="left"/>
      </w:pPr>
      <w:r>
        <w:t xml:space="preserve">Auf Grundlage Ihrer Auskunft beziffere ich vorläufig: Herausgabe der 84 noch vorhandenen Paletten, Wertersatz für die abverkauften Bestände in Höhe des Nettoerlöses von 61.200,00 EUR zuzüglich des noch zu belegenden Erlöses aus Abverkäufen seit dem 01.06.2026, Auskehrung der vereinnahmten 14.650,00 EUR und 4.500,00 EUR sowie Rückabtretung der Restforderung gegen die Zimmerei Brandau. Ich bitte um Belegvorlage (Abverkaufsliste der Charge FULDA-12-25) bis zum </w:t>
      </w:r>
      <w:r>
        <w:rPr>
          <w:b/>
        </w:rPr>
        <w:t>10.07.2026</w:t>
      </w:r>
      <w:r>
        <w:t>. Sollte bis dahin keine einvernehmliche Regelung erreicht sein, wird Klage erhoben; einen Güteversuch vor der Industrie- und Handelskammer lehne ich ab.</w:t>
      </w:r>
    </w:p>
    <w:p>
      <w:pPr>
        <w:spacing w:line="259" w:lineRule="auto" w:after="60"/>
        <w:jc w:val="left"/>
      </w:pPr>
      <w:r>
        <w:t>Mit kollegialen Grüßen</w:t>
      </w:r>
    </w:p>
    <w:p>
      <w:pPr>
        <w:spacing w:line="259" w:lineRule="auto" w:after="60"/>
        <w:jc w:val="left"/>
      </w:pPr>
      <w:r>
        <w:t>Dr. Salzwedel</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