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Protokoll der außerordentlichen Gesellschafterversammlung — 28.10.2025</w:t>
      </w:r>
    </w:p>
    <w:p>
      <w:pPr>
        <w:spacing w:line="259" w:lineRule="auto" w:after="60"/>
        <w:jc w:val="left"/>
      </w:pPr>
      <w:r>
        <w:t>Kiezflitzer Mobility GmbH, per Videokonferenz. Anwesend: Wittkamp (35 %), Brosekamp (20 %), KF Team Beteiligungs-UG vertreten durch Fr. Yildiz (15 %). Dr. Brandhorst (30 %) entschuldigt, Stimmrechtsvollmacht nicht erteilt.</w:t>
      </w:r>
    </w:p>
    <w:p>
      <w:pPr>
        <w:spacing w:line="259" w:lineRule="auto" w:after="60"/>
        <w:jc w:val="left"/>
      </w:pPr>
      <w:r>
        <w:rPr>
          <w:b/>
        </w:rPr>
        <w:t>TOP 1 — Finanzlage.</w:t>
      </w:r>
      <w:r>
        <w:t xml:space="preserve"> Wittkamp berichtet: fällige Verbindlichkeiten rund 360.000 EUR, verfügbare Mittel rund 70.000 EUR, Rückläuferquote der Abos im Oktober 14 Prozent. Ohne Zufluss droht nach seiner Einschätzung „in vier bis fünf Wochen die Zahlungsunfähigkeit". Brosekamp verweist auf den Kollibri-LOI vom 30.09.2025 und den für den 05.11.2025 angesetzten Closing-Call; die Lage sei „ernst, aber überbrückbar, solange der Prozess läuft".</w:t>
      </w:r>
    </w:p>
    <w:p>
      <w:pPr>
        <w:spacing w:line="259" w:lineRule="auto" w:after="60"/>
        <w:jc w:val="left"/>
      </w:pPr>
      <w:r>
        <w:rPr>
          <w:b/>
        </w:rPr>
        <w:t>TOP 2 — Handlungsoptionen.</w:t>
      </w:r>
      <w:r>
        <w:t xml:space="preserve"> Diskussion über StaRUG-Anzeige, Insolvenzantrag und Überbrückungsdarlehen der Gesellschafter. Ein Beschluss wird nicht gefasst; die Entscheidung wird bis zum Ergebnis des Closing-Calls zurückgestellt. Wittkamp wird beauftragt, „parallel anwaltlichen Rat zur Antragspflicht" einzuholen.</w:t>
      </w:r>
    </w:p>
    <w:p>
      <w:pPr>
        <w:spacing w:line="259" w:lineRule="auto" w:after="60"/>
        <w:jc w:val="left"/>
      </w:pPr>
      <w:r>
        <w:rPr>
          <w:b/>
        </w:rPr>
        <w:t>TOP 3 — Verschiedenes.</w:t>
      </w:r>
      <w:r>
        <w:t xml:space="preserve"> Fr. Yildiz fragt nach den Beraterzahlungen an Gesellschafter; Wittkamp sagt eine Aufstellung zu.</w:t>
      </w:r>
    </w:p>
    <w:p>
      <w:pPr>
        <w:spacing w:before="120" w:after="60" w:line="259" w:lineRule="auto"/>
        <w:jc w:val="left"/>
      </w:pPr>
      <w:r>
        <w:rPr>
          <w:rFonts w:ascii="Times New Roman" w:hAnsi="Times New Roman"/>
          <w:b/>
          <w:i/>
          <w:sz w:val="22"/>
        </w:rPr>
        <w:t>(gez. Wittkamp, Protokollführer)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