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Eigenantrag auf Eröffnung des Insolvenzverfahrens — 14.11.2025</w:t>
      </w:r>
    </w:p>
    <w:p>
      <w:pPr>
        <w:spacing w:line="259" w:lineRule="auto" w:after="60"/>
        <w:jc w:val="left"/>
      </w:pPr>
      <w:r>
        <w:rPr>
          <w:b/>
        </w:rPr>
        <w:t>An das Amtsgericht Charlottenburg — Insolvenzgericht —, Amtsgerichtsplatz 1, 14057 Berlin</w:t>
      </w:r>
    </w:p>
    <w:p>
      <w:pPr>
        <w:spacing w:line="259" w:lineRule="auto" w:after="60"/>
        <w:jc w:val="left"/>
      </w:pPr>
      <w:r>
        <w:t>Namens der Kiezflitzer Mobility GmbH, Weserstraße 168, 12045 Berlin, HRB 224871 B, beantrage ich als deren einzelvertretungsberechtigter Geschäftsführer,</w:t>
      </w:r>
    </w:p>
    <w:p>
      <w:pPr>
        <w:spacing w:line="259" w:lineRule="auto" w:after="60"/>
        <w:jc w:val="left"/>
      </w:pPr>
      <w:r>
        <w:rPr>
          <w:b/>
        </w:rPr>
        <w:t>das Insolvenzverfahren über das Vermögen der Gesellschaft zu eröffnen.</w:t>
      </w:r>
    </w:p>
    <w:p>
      <w:pPr>
        <w:spacing w:line="259" w:lineRule="auto" w:after="60"/>
        <w:jc w:val="left"/>
      </w:pPr>
      <w:r>
        <w:t>Die Gesellschaft ist zahlungsunfähig (§ 17 InsO) und überschuldet (§ 19 InsO). Den fälligen Verbindlichkeiten von 391.400 EUR stehen verfügbare Mittel von rund 6.400 EUR gegenüber. Die als Brückenfinanzierung verfolgte Beteiligung der Kollibri Capital Partners ist am 07.11.2025 endgültig gescheitert; weitere Finanzierungsquellen bestehen nicht. Löhne für Oktober sind teilweise, für November vollständig offen.</w:t>
      </w:r>
    </w:p>
    <w:p>
      <w:pPr>
        <w:spacing w:line="259" w:lineRule="auto" w:after="60"/>
        <w:jc w:val="left"/>
      </w:pPr>
      <w:r>
        <w:t>Beigefügt sind gemäß § 13 InsO das Verzeichnis der Gläubiger und ihrer Forderungen (Anlage AS 1, Stand 13.11.2025), eine Vermögensübersicht (Anlage AS 2) sowie die Erklärung zu den Angaben nach § 13 Abs. 1 Satz 4 bis 7 InsO. Zahlen aus dem Rechnungswesen können kurzfristig nachgereicht werden; Ansprechpartnerin ist Frau Sanftl (Buchhaltung).</w:t>
      </w:r>
    </w:p>
    <w:p>
      <w:pPr>
        <w:spacing w:before="120" w:after="60" w:line="259" w:lineRule="auto"/>
        <w:jc w:val="left"/>
      </w:pPr>
      <w:r>
        <w:rPr>
          <w:rFonts w:ascii="Times New Roman" w:hAnsi="Times New Roman"/>
          <w:b/>
          <w:sz w:val="22"/>
        </w:rPr>
        <w:t xml:space="preserve">Berlin, den 14.11.2025 — </w:t>
      </w:r>
      <w:r>
        <w:rPr>
          <w:rFonts w:ascii="Times New Roman" w:hAnsi="Times New Roman"/>
          <w:b/>
          <w:i/>
          <w:sz w:val="22"/>
        </w:rPr>
        <w:t>(gez.) Jonas Wittkamp, 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