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Sachverständigengutachten im Eröffnungsverfahren (Kurzgutachten) — 20.02.2026</w:t>
      </w:r>
    </w:p>
    <w:p>
      <w:pPr>
        <w:spacing w:line="259" w:lineRule="auto" w:after="60"/>
        <w:jc w:val="left"/>
      </w:pPr>
      <w:r>
        <w:rPr>
          <w:b/>
        </w:rPr>
        <w:t>Erstattet von RA'in Dr. Gesa Trux als gerichtlich bestellter Sachverständiger — 36c IN 2291/25</w:t>
      </w:r>
    </w:p>
    <w:p>
      <w:pPr>
        <w:spacing w:line="259" w:lineRule="auto" w:after="60"/>
        <w:jc w:val="left"/>
      </w:pPr>
      <w:r>
        <w:t xml:space="preserve">1 </w:t>
      </w:r>
      <w:r>
        <w:rPr>
          <w:b/>
        </w:rPr>
        <w:t>Auftrag und Grundlagen.</w:t>
      </w:r>
      <w:r>
        <w:t xml:space="preserve"> Grundlage sind die Buchhaltung der Schuldnerin (DATEV-Bestände bis Januar 2026), OPOS-Listen, Kontoauszüge 2023 bis 2025, Personal- und Leasingunterlagen sowie Gespräche mit dem Geschäftsführer und der Buchhaltung.</w:t>
      </w:r>
    </w:p>
    <w:p>
      <w:pPr>
        <w:spacing w:line="259" w:lineRule="auto" w:after="60"/>
        <w:jc w:val="left"/>
      </w:pPr>
      <w:r>
        <w:t xml:space="preserve">2 </w:t>
      </w:r>
      <w:r>
        <w:rPr>
          <w:b/>
        </w:rPr>
        <w:t>Eröffnungsgrund Zahlungsunfähigkeit.</w:t>
      </w:r>
      <w:r>
        <w:t xml:space="preserve"> Die Schuldnerin ist zahlungsunfähig. Aus dem stichtagsbezogenen Liquiditätsstatus (Anlage, Aktenstück 15) ergibt sich zum 01.09.2025 eine Unterdeckung von 27 Prozent der fälligen Verbindlichkeiten, die in den Folgewochen nicht geschlossen wurde, sondern bis zum Antrag auf 98 Prozent anwuchs. Nach der Rechtsprechung des Bundesgerichtshofs liegt Zahlungsunfähigkeit regelmäßig vor, wenn die Liquiditätslücke zehn Prozent oder mehr beträgt und nicht binnen drei Wochen geschlossen werden kann (BGH, Urteil vom 24.05.2005 — IX ZR 123/04; Fundstelle vor Verwendung in Schriftsätzen an amtlicher Quelle prüfen). </w:t>
      </w:r>
      <w:r>
        <w:rPr>
          <w:b/>
        </w:rPr>
        <w:t>Eintritt der Zahlungsunfähigkeit: spätestens 01.09.2025.</w:t>
      </w:r>
      <w:r>
        <w:t xml:space="preserve"> Die Rückgabe der Leasing-Lastschrift am 02.09.2025 und die ab September aufgelaufenen Sozialversicherungsrückstände indizieren zudem Zahlungseinstellung (§ 17 Abs. 2 Satz 2 InsO).</w:t>
      </w:r>
    </w:p>
    <w:p>
      <w:pPr>
        <w:spacing w:line="259" w:lineRule="auto" w:after="60"/>
        <w:jc w:val="left"/>
      </w:pPr>
      <w:r>
        <w:t xml:space="preserve">3 </w:t>
      </w:r>
      <w:r>
        <w:rPr>
          <w:b/>
        </w:rPr>
        <w:t>Eröffnungsgrund Überschuldung.</w:t>
      </w:r>
      <w:r>
        <w:t xml:space="preserve"> Der Überschuldungsstatus zu Liquidationswerten weist zum 30.06.2025 ein nicht durch Eigenkapital gedecktes Minus von 412.000 EUR aus (Aktenstück 16). Eine positive Fortbestehensprognose bestand ab der Ablehnung des IBB-Förderdarlehens vom 26.06.2025 nicht mehr: Die Finanzplanung der Schuldnerin selbst wies ohne diese Mittel für den Prognosezeitraum eine dauerhafte Unterdeckung aus; der spätere LOI vom 30.09.2025 war ausdrücklich unverbindlich und ungeeignet, die überwiegende Wahrscheinlichkeit der Durchfinanzierung zu begründen. </w:t>
      </w:r>
      <w:r>
        <w:rPr>
          <w:b/>
        </w:rPr>
        <w:t>Eintritt der Überschuldung: 30.06.2025.</w:t>
      </w:r>
    </w:p>
    <w:p>
      <w:pPr>
        <w:spacing w:line="259" w:lineRule="auto" w:after="60"/>
        <w:jc w:val="left"/>
      </w:pPr>
      <w:r>
        <w:t xml:space="preserve">4 </w:t>
      </w:r>
      <w:r>
        <w:rPr>
          <w:b/>
        </w:rPr>
        <w:t>Fortführung und Kostendeckung.</w:t>
      </w:r>
      <w:r>
        <w:t xml:space="preserve"> Der Geschäftsbetrieb ist seit Dezember 2025 eingestellt; die Flotte ist an die Leasinggeberin herausgegeben. Die freie Masse (Bankguthaben, Forderungen, Erlös aus Werkstattinventar) beträgt rund 118.000 EUR und deckt die Verfahrenskosten. </w:t>
      </w:r>
      <w:r>
        <w:rPr>
          <w:b/>
        </w:rPr>
        <w:t>Empfehlung: Eröffnung.</w:t>
      </w:r>
    </w:p>
    <w:p>
      <w:pPr>
        <w:spacing w:line="259" w:lineRule="auto" w:after="60"/>
        <w:jc w:val="left"/>
      </w:pPr>
      <w:r>
        <w:t xml:space="preserve">5 </w:t>
      </w:r>
      <w:r>
        <w:rPr>
          <w:b/>
        </w:rPr>
        <w:t>Hinweis.</w:t>
      </w:r>
      <w:r>
        <w:t xml:space="preserve"> Zahlungen an nahestehende Personen und Gesellschafter im kritischen Zeitraum werden nach Eröffnung gesondert auf Anfechtbarkeit geprüft (§§ 129 ff. InsO); die tatsächlichen Feststellungen dieses Gutachtens gelten insoweit fort.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