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Überschuldungsstatus zum 30.06.2025 (Liquidationswerte) — Anlage zum Gutachten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Buchwert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Liquidationswert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Lastenrad-Flotte (geleast, Aussonderung)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Werkstatt- und Ladeninventar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Software/Plattform (Eigenentwicklung)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Forderungen aus Abos (bereinigt um Rückläufer)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Aktiva 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239.000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Verbindlichkeiten Leasing, Lieferanten, Steuern, SV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587.000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Rückstellungen (Rückbau Werkstatt, Prozesskosten)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Passiva 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651.000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durch Eigenkapital gedeckter Fehlbetrag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-412.000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Fortbestehensprognose:</w:t>
      </w:r>
      <w:r>
        <w:t xml:space="preserve"> Die integrierte Planung der Schuldnerin (Modell v2 vom 14.07.2025, erstellt unter Mitwirkung des Beraters Dr. Brosekamp) weist ohne das am 26.06.2025 abgelehnte IBB-Förderdarlehen über 500.000 EUR in sämtlichen Szenarien eine Unterdeckung im Prognosezeitraum bis 31.12.2026 aus. Konkrete, überwiegend wahrscheinliche Finanzierungszusagen bestanden am Stichtag nicht. Die Prognose ist negativ; das Gesellschafterdarlehen Brosekamp war bereits im Dezember 2024 zurückgeführt und stand als Haftmasse nicht mehr zur Verfügung.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