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Schreiben der Insolvenzverwalterin an Dr. Valentin Brosekamp — 12.05.2026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Sehr geehrter Herr Dr. Brosekamp,</w:t>
      </w:r>
    </w:p>
    <w:p>
      <w:pPr>
        <w:spacing w:line="259" w:lineRule="auto" w:after="60"/>
        <w:jc w:val="left"/>
      </w:pPr>
      <w:r>
        <w:t>als Insolvenzverwalterin über das Vermögen der Kiezflitzer Mobility GmbH (AG Charlottenburg, 36c IN 2291/25, eröffnet am 01.03.2026) fordere ich Sie auf, folgende Beträge zur Insolvenzmasse zurückzugewähren (§ 143 Abs. 1 InsO):</w:t>
      </w:r>
    </w:p>
    <w:p>
      <w:pPr>
        <w:pStyle w:val="ListNumber"/>
        <w:spacing w:line="259" w:lineRule="auto" w:after="60"/>
      </w:pPr>
      <w:r>
        <w:rPr>
          <w:b/>
        </w:rPr>
        <w:t>150.000,00 EUR</w:t>
      </w:r>
      <w:r>
        <w:t xml:space="preserve"> — Rückzahlung Ihres Gesellschafterdarlehens am 20.12.2024. Die Zahlung erfolgte innerhalb des letzten Jahres vor dem Eröffnungsantrag vom 14.11.2025 und ist nach § 135 Abs. 1 Nr. 2 InsO anfechtbar; auf Ihre Kenntnis der wirtschaftlichen Lage kommt es insoweit nicht an. Das Kleinbeteiligtenprivileg des § 39 Abs. 5 InsO greift bei Ihrer Beteiligung von 20 Prozent nicht.</w:t>
      </w:r>
    </w:p>
    <w:p>
      <w:pPr>
        <w:pStyle w:val="ListNumber"/>
        <w:spacing w:line="259" w:lineRule="auto" w:after="60"/>
      </w:pPr>
      <w:r>
        <w:rPr>
          <w:b/>
        </w:rPr>
        <w:t>15.000,00 EUR</w:t>
      </w:r>
      <w:r>
        <w:t xml:space="preserve"> — „Vorschuss Honorare Okt/Nov" vom 24.10.2025. Der Beratervertrag vom 01.07.2025 sieht Vorschüsse ausdrücklich nicht vor; die Zahlung erfolgte im letzten Monat vor dem Eröffnungsantrag und ist als inkongruente Deckung nach § 131 Abs. 1 Nr. 1 InsO anfechtbar.</w:t>
      </w:r>
    </w:p>
    <w:p>
      <w:pPr>
        <w:pStyle w:val="ListNumber"/>
        <w:spacing w:line="259" w:lineRule="auto" w:after="60"/>
      </w:pPr>
      <w:r>
        <w:rPr>
          <w:b/>
        </w:rPr>
        <w:t>20.230,00 EUR</w:t>
      </w:r>
      <w:r>
        <w:t xml:space="preserve"> — Zahlung vom 12.09.2025 auf Ihre Rechnung 2025-002. Die Gesellschaft war zu diesem Zeitpunkt zahlungsunfähig; als ihr laufend mit den Cash-Reports versorgter Finanzberater und Gesellschafter kannten Sie die Zahlungsunfähigkeit jedenfalls im Sinne des § 130 Abs. 2 InsO; hilfsweise stütze ich die Anfechtung auf § 133 Abs. 1 InsO. Auf § 138 Abs. 2 InsO weise ich hin.</w:t>
      </w:r>
    </w:p>
    <w:p>
      <w:pPr>
        <w:spacing w:line="259" w:lineRule="auto" w:after="60"/>
        <w:jc w:val="left"/>
      </w:pPr>
      <w:r>
        <w:t xml:space="preserve">Nebst Zinsen seit dem 01.03.2026. Ich habe Frist notiert auf den </w:t>
      </w:r>
      <w:r>
        <w:rPr>
          <w:b/>
        </w:rPr>
        <w:t>02.06.2026</w:t>
      </w:r>
      <w:r>
        <w:t>. Zur Vermeidung gerichtlicher Schritte stehe ich für ein Gespräch zur Verfügung.</w:t>
      </w:r>
    </w:p>
    <w:p>
      <w:pPr>
        <w:spacing w:line="259" w:lineRule="auto" w:after="60"/>
        <w:jc w:val="left"/>
      </w:pPr>
      <w:r>
        <w:t xml:space="preserve">Mit freundlichen Grüßen — </w:t>
      </w:r>
      <w:r>
        <w:rPr>
          <w:i/>
        </w:rPr>
        <w:t>(gez.) Dr. Gesa Trux, Rechtsanwältin, als Insolvenzverwalterin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