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Kurzgutachten zur insolvenzrechtlichen Lage der Trave Clean Gebäudeservice GmbH</w:t>
      </w:r>
    </w:p>
    <w:p>
      <w:pPr>
        <w:spacing w:line="259" w:lineRule="auto" w:after="60"/>
        <w:jc w:val="left"/>
      </w:pPr>
      <w:r>
        <w:rPr>
          <w:b/>
        </w:rPr>
        <w:t>Dr. Rehberg &amp; Cie. Restrukturierung GmbH</w:t>
      </w:r>
      <w:r>
        <w:t xml:space="preserve"> · Alsterarkaden 20 · 20354 Hamburg · Telefon 040 35714-0</w:t>
      </w:r>
    </w:p>
    <w:p>
      <w:pPr>
        <w:spacing w:line="259" w:lineRule="auto" w:after="60"/>
        <w:jc w:val="left"/>
      </w:pPr>
      <w:r>
        <w:t>Projekt-Nr.: 2025-047 · Vertraulich — nur für die Geschäftsführung der Auftraggeberin</w:t>
      </w:r>
    </w:p>
    <w:p>
      <w:pPr>
        <w:spacing w:before="120" w:after="60" w:line="259" w:lineRule="auto"/>
        <w:jc w:val="left"/>
      </w:pPr>
      <w:r>
        <w:rPr>
          <w:rFonts w:ascii="Times New Roman" w:hAnsi="Times New Roman"/>
          <w:b/>
          <w:sz w:val="22"/>
        </w:rPr>
        <w:t>Hamburg, den 12.05.2025</w:t>
      </w:r>
    </w:p>
    <w:p>
      <w:pPr>
        <w:spacing w:line="259" w:lineRule="auto" w:after="60"/>
        <w:jc w:val="left"/>
      </w:pPr>
      <w:r>
        <w:t>Auftraggeberin: Trave Clean Gebäudeservice GmbH, Fackenburger Allee 112, 23554 Lübeck, vertreten durch den Geschäftsführer Deniz Albayrak</w:t>
      </w:r>
    </w:p>
    <w:p>
      <w:pPr>
        <w:spacing w:line="259" w:lineRule="auto" w:after="60"/>
        <w:jc w:val="left"/>
      </w:pPr>
      <w:r>
        <w:t>Auftrag vom 07.04.2025: Beurteilung des Vorliegens von Insolvenzeröffnungsgründen (§§ 17, 19 InsO) zum Stichtag 31.03.2025 und Fortbestehensprognose; Datenbasis: Summen- und Saldenlisten per 31.03.2025, OPOS-Listen Debitoren und Kreditoren, Bankauszüge Januar bis April 2025, Auftragsbestand und Objektkalkulationen, Angaben der Geschäftsführung</w:t>
      </w:r>
    </w:p>
    <w:p>
      <w:pPr>
        <w:spacing w:before="120" w:after="60" w:line="259" w:lineRule="auto"/>
        <w:jc w:val="left"/>
      </w:pPr>
      <w:r>
        <w:rPr>
          <w:rFonts w:ascii="Times New Roman" w:hAnsi="Times New Roman"/>
          <w:b/>
          <w:sz w:val="22"/>
        </w:rPr>
        <w:t>1 Zusammenfassung des Ergebnisses</w:t>
      </w:r>
    </w:p>
    <w:p>
      <w:pPr>
        <w:spacing w:line="259" w:lineRule="auto" w:after="60"/>
        <w:jc w:val="left"/>
      </w:pPr>
      <w:r>
        <w:t>1.1 Die Trave Clean Gebäudeservice GmbH war zum Stichtag 31.03.2025 zahlungsunfähig im Sinne des § 17 Abs. 2 Satz 1 InsO. Die stichtagsbezogene Liquiditätslücke betrug 31,6 Prozent der fälligen Gesamtverbindlichkeiten; sie konnte auch unter Einbeziehung der innerhalb von drei Wochen realisierbaren Mittel nicht unter 10 Prozent zurückgeführt werden und war nach der Planungsrechnung nicht in absehbarer Zeit vollständig zu schließen.</w:t>
      </w:r>
    </w:p>
    <w:p>
      <w:pPr>
        <w:spacing w:line="259" w:lineRule="auto" w:after="60"/>
        <w:jc w:val="left"/>
      </w:pPr>
      <w:r>
        <w:t>1.2 Die Fortbestehensprognose ist negativ. Die Gesellschaft ist nach dem Ergebnis unserer Prüfung zugleich überschuldet im Sinne des § 19 Abs. 2 InsO, da die Fortführung des Unternehmens innerhalb der nächsten zwölf Monate nicht überwiegend wahrscheinlich ist und das Vermögen zu Liquidationswerten die Verbindlichkeiten nicht deckt.</w:t>
      </w:r>
    </w:p>
    <w:p>
      <w:pPr>
        <w:spacing w:line="259" w:lineRule="auto" w:after="60"/>
        <w:jc w:val="left"/>
      </w:pPr>
      <w:r>
        <w:t>1.3 Wir weisen die Geschäftsführung mit Nachdruck auf die Antragspflicht nach § 15a Abs. 1 InsO und die haftungs- und strafrechtlichen Folgen ihrer Verletzung hin. Zahlungen nach Eintritt der Zahlungsunfähigkeit unterliegen den Beschränkungen des § 15b InsO.</w:t>
      </w:r>
    </w:p>
    <w:p>
      <w:pPr>
        <w:spacing w:line="259" w:lineRule="auto" w:after="60"/>
        <w:jc w:val="left"/>
      </w:pPr>
      <w:r>
        <w:t>2 Liquiditätsstatus zum 31.03.2025</w:t>
      </w:r>
    </w:p>
    <w:p>
      <w:pPr>
        <w:spacing w:line="259" w:lineRule="auto" w:after="60"/>
        <w:jc w:val="left"/>
      </w:pPr>
      <w:r>
        <w:t xml:space="preserve">2.1 Die verfügbaren Mittel zum Stichtag setzen sich zusammen aus Guthaben auf den Geschäftskonten (11.900 EUR), der freien Kontokorrentlinie (10.000 EUR von eingeräumten 50.000 EUR; die Linie ist im Übrigen ausgenutzt) und kurzfristig einziehbaren, nicht abgetretenen Debitoren mit Fälligkeit bis zum Stichtag (20.400 EUR). Verfügbare Mittel gesamt: </w:t>
      </w:r>
      <w:r>
        <w:rPr>
          <w:b/>
        </w:rPr>
        <w:t>42.300 EUR</w:t>
      </w:r>
      <w:r>
        <w:t>.</w:t>
      </w:r>
    </w:p>
    <w:p>
      <w:pPr>
        <w:spacing w:line="259" w:lineRule="auto" w:after="60"/>
        <w:jc w:val="left"/>
      </w:pPr>
      <w:r>
        <w:t xml:space="preserve">2.2 Die fälligen Verbindlichkeiten zum Stichtag betragen </w:t>
      </w:r>
      <w:r>
        <w:rPr>
          <w:b/>
        </w:rPr>
        <w:t>61.800 EUR</w:t>
      </w:r>
      <w:r>
        <w:t>. Sie umfassen im Wesentlichen: Lieferantenverbindlichkeiten überfällig (18.300 EUR), Leasingraten Fuhrpark Februar und März (9.400 EUR), Mietrückstand Betriebshof März (5.550 EUR), Lohnsteuer und Umsatzsteuer Februar (14.750 EUR), Restlöhne Februar (8.200 EUR) sowie sonstige fällige Posten (5.600 EUR).</w:t>
      </w:r>
    </w:p>
    <w:p>
      <w:pPr>
        <w:spacing w:line="259" w:lineRule="auto" w:after="60"/>
        <w:jc w:val="left"/>
      </w:pPr>
      <w:r>
        <w:t xml:space="preserve">2.3 Die stichtagsbezogene Unterdeckung beträgt 19.500 EUR, mithin </w:t>
      </w:r>
      <w:r>
        <w:rPr>
          <w:b/>
        </w:rPr>
        <w:t>31,6 Prozent</w:t>
      </w:r>
      <w:r>
        <w:t xml:space="preserve"> der fälligen Gesamtverbindlichkeiten.</w:t>
      </w:r>
    </w:p>
    <w:p>
      <w:pPr>
        <w:spacing w:line="259" w:lineRule="auto" w:after="60"/>
        <w:jc w:val="left"/>
      </w:pPr>
      <w:r>
        <w:t>3 Drei-Wochen-Betrachtung bis zum 22.04.2025</w:t>
      </w:r>
    </w:p>
    <w:p>
      <w:pPr>
        <w:spacing w:line="259" w:lineRule="auto" w:after="60"/>
        <w:jc w:val="left"/>
      </w:pPr>
      <w:r>
        <w:t>3.1 Innerhalb von drei Wochen ab dem Stichtag sind Zuflüsse von 88.400 EUR überwiegend wahrscheinlich (Objektabrechnungen März, Abschläge April). Den verfügbaren Mitteln von dann 130.700 EUR stehen fällige Verbindlichkeiten von 153.000 EUR gegenüber (Bestand zum Stichtag zuzüglich 91.200 EUR neu fällig werdender Verbindlichkeiten, insbesondere Löhne März, Beiträge, Leasing, Miete April).</w:t>
      </w:r>
    </w:p>
    <w:p>
      <w:pPr>
        <w:spacing w:line="259" w:lineRule="auto" w:after="60"/>
        <w:jc w:val="left"/>
      </w:pPr>
      <w:r>
        <w:t xml:space="preserve">3.2 Die Lücke zum Ende des Drei-Wochen-Zeitraums beträgt 22.300 EUR, mithin </w:t>
      </w:r>
      <w:r>
        <w:rPr>
          <w:b/>
        </w:rPr>
        <w:t>14,6 Prozent</w:t>
      </w:r>
      <w:r>
        <w:t xml:space="preserve"> der dann fälligen Gesamtverbindlichkeiten. Sie liegt damit weiterhin deutlich über der 10-Prozent-Schwelle. Die Einzelheiten ergeben sich aus der Liquiditätstabelle in der Anlage, die Bestandteil dieses Gutachtens ist.</w:t>
      </w:r>
    </w:p>
    <w:p>
      <w:pPr>
        <w:spacing w:line="259" w:lineRule="auto" w:after="60"/>
        <w:jc w:val="left"/>
      </w:pPr>
      <w:r>
        <w:t>3.3 Eine an Sicherheit grenzende oder auch nur überwiegende Wahrscheinlichkeit, die Lücke demnächst vollständig zu schließen, besteht nicht: Die Objektkalkulationen der zwölf laufenden Objekte weisen in Summe eine negative Deckungsbeitragsmarge aus, zwei Großobjekte sind zum 30.06.2025 beziehungsweise 31.12.2025 kündbar, und Preiserhöhungen sind nach Angaben der Geschäftsführung frühestens zum Jahreswechsel durchsetzbar.</w:t>
      </w:r>
    </w:p>
    <w:p>
      <w:pPr>
        <w:spacing w:line="259" w:lineRule="auto" w:after="60"/>
        <w:jc w:val="left"/>
      </w:pPr>
      <w:r>
        <w:t>4 Fortbestehensprognose</w:t>
      </w:r>
    </w:p>
    <w:p>
      <w:pPr>
        <w:spacing w:line="259" w:lineRule="auto" w:after="60"/>
        <w:jc w:val="left"/>
      </w:pPr>
      <w:r>
        <w:t>4.1 Die integrierte Planungsrechnung für April 2025 bis März 2026 ergibt in allen drei gerechneten Szenarien (Basis, Optimistisch, Risiko) eine anhaltende und wachsende Unterdeckung. Im Basisszenario wächst die Liquiditätslücke bis zum Jahresende 2025 auf über 90.000 EUR; selbst im optimistischen Szenario (Halten aller Objekte, Preiserhöhung 6 Prozent zum 01.01.2026, Factoring der Debitoren) verbleibt eine Lücke von über 40.000 EUR.</w:t>
      </w:r>
    </w:p>
    <w:p>
      <w:pPr>
        <w:spacing w:line="259" w:lineRule="auto" w:after="60"/>
        <w:jc w:val="left"/>
      </w:pPr>
      <w:r>
        <w:t xml:space="preserve">4.2 Finanzierungszusagen Dritter liegen nicht vor. Die Hausbank hat eine Ausweitung der Kontokorrentlinie mit E-Mail vom 28.04.2025 abgelehnt. Ein Gesellschafterdarlehen ist nach Angaben des Geschäftsführers nicht darstellbar. Die Fortbestehensprognose ist danach </w:t>
      </w:r>
      <w:r>
        <w:rPr>
          <w:b/>
        </w:rPr>
        <w:t>negativ</w:t>
      </w:r>
      <w:r>
        <w:t>.</w:t>
      </w:r>
    </w:p>
    <w:p>
      <w:pPr>
        <w:spacing w:line="259" w:lineRule="auto" w:after="60"/>
        <w:jc w:val="left"/>
      </w:pPr>
      <w:r>
        <w:t>5 Handlungsempfehlung</w:t>
      </w:r>
    </w:p>
    <w:p>
      <w:pPr>
        <w:spacing w:line="259" w:lineRule="auto" w:after="60"/>
        <w:jc w:val="left"/>
      </w:pPr>
      <w:r>
        <w:t>5.1 Wir empfehlen der Geschäftsführung, unverzüglich, spätestens innerhalb der Höchstfrist des § 15a Abs. 1 Satz 2 InsO, einen Insolvenzantrag zu stellen, sofern nicht binnen dieser Frist eine belastbare Finanzierungszusage die Zahlungsfähigkeit wiederherstellt. Ein Eigenantrag eröffnet zugleich die Option eines Verfahrens in Eigenverwaltung (§ 270a InsO); die dafür erforderliche Eigenverwaltungsplanung könnten wir kurzfristig erstellen.</w:t>
      </w:r>
    </w:p>
    <w:p>
      <w:pPr>
        <w:spacing w:line="259" w:lineRule="auto" w:after="60"/>
        <w:jc w:val="left"/>
      </w:pPr>
      <w:r>
        <w:t>5.2 Bis zur Antragstellung sind Zahlungen auf das nach § 15b Abs. 1 Satz 2 InsO Zulässige zu beschränken. Wir weisen darauf hin, dass die Abführung von Arbeitnehmeranteilen zur Sozialversicherung und von Lohnsteuer gesondert zu betrachten ist; hierzu verweisen wir auf die Erörterung im Termin vom 06.05.2025.</w:t>
      </w:r>
    </w:p>
    <w:p>
      <w:pPr>
        <w:spacing w:line="259" w:lineRule="auto" w:after="60"/>
        <w:jc w:val="left"/>
      </w:pPr>
      <w:r>
        <w:t>6 Schlussbemerkung</w:t>
      </w:r>
    </w:p>
    <w:p>
      <w:pPr>
        <w:spacing w:line="259" w:lineRule="auto" w:after="60"/>
        <w:jc w:val="left"/>
      </w:pPr>
      <w:r>
        <w:t>Dieses Kurzgutachten beruht auf den uns bis zum 09.05.2025 zur Verfügung gestellten Unterlagen und Auskünften. Es ersetzt keine laufende Überwachung der Liquiditätslage. Sollte die Geschäftsführung von einer Antragstellung absehen, empfehlen wir eine wöchentliche rollierende Liquiditätsplanung und die erneute Vorlage bei uns spätestens zum 30.06.2025. Ein Folgeauftrag ist uns nicht erteilt worden.</w:t>
      </w:r>
    </w:p>
    <w:p>
      <w:pPr>
        <w:spacing w:line="259" w:lineRule="auto" w:after="60"/>
        <w:jc w:val="left"/>
      </w:pPr>
      <w:r>
        <w:t>Dr. Rehberg &amp; Cie. Restrukturierung GmbH</w:t>
      </w:r>
    </w:p>
    <w:p>
      <w:pPr>
        <w:spacing w:line="259" w:lineRule="auto" w:after="60"/>
        <w:jc w:val="left"/>
      </w:pPr>
      <w:r>
        <w:t>Dr. Cornelius Rehberg · Diplom-Kaufmann Jan Malchow</w:t>
      </w:r>
    </w:p>
    <w:p>
      <w:pPr>
        <w:spacing w:line="259" w:lineRule="auto" w:after="60"/>
        <w:jc w:val="left"/>
      </w:pPr>
      <w:r>
        <w:t>Geschäftsführer · Prokurist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