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Mandatsvermerk</w:t>
      </w:r>
    </w:p>
    <w:p>
      <w:pPr>
        <w:spacing w:line="259" w:lineRule="auto" w:after="60"/>
        <w:jc w:val="left"/>
      </w:pPr>
      <w:r>
        <w:rPr>
          <w:b/>
        </w:rPr>
        <w:t>Broscheit &amp; Weyland Rechtsanwälte</w:t>
      </w:r>
      <w:r>
        <w:t xml:space="preserve"> · Friedrichstraße 24 · 42551 Velbert · Telefon 02051 9822-0</w:t>
      </w:r>
    </w:p>
    <w:p>
      <w:pPr>
        <w:spacing w:line="259" w:lineRule="auto" w:after="60"/>
        <w:jc w:val="left"/>
      </w:pPr>
      <w:r>
        <w:t>Unser Zeichen: 311/26 YB · Verfasser: Rechtsanwalt Dr. Yannick Broscheit · Diktat: 26.05.2026</w:t>
      </w:r>
    </w:p>
    <w:p>
      <w:pPr>
        <w:spacing w:line="259" w:lineRule="auto" w:after="60"/>
        <w:jc w:val="left"/>
      </w:pPr>
      <w:r>
        <w:rPr>
          <w:b/>
        </w:rPr>
        <w:t>Mandat HebeFix Beschlagtechnik GmbH ./. Insolvenzverwalterin der Teutoburger Möbelwerk GmbH — Vermerk zur Mandatsübernahme</w:t>
      </w:r>
    </w:p>
    <w:p>
      <w:pPr>
        <w:spacing w:before="120" w:after="60" w:line="259" w:lineRule="auto"/>
        <w:jc w:val="left"/>
      </w:pPr>
      <w:r>
        <w:rPr>
          <w:rFonts w:ascii="Times New Roman" w:hAnsi="Times New Roman"/>
          <w:b/>
          <w:sz w:val="22"/>
        </w:rPr>
        <w:t>1 Mandat und Gegenstand</w:t>
      </w:r>
    </w:p>
    <w:p>
      <w:pPr>
        <w:spacing w:line="259" w:lineRule="auto" w:after="60"/>
        <w:jc w:val="left"/>
      </w:pPr>
      <w:r>
        <w:t>Die HebeFix Beschlagtechnik GmbH, Velbert (Geschäftsführerin Petra Stollberg), hat uns am 20.05.2026 mit der Abwehr eines Anfechtungsanspruchs beauftragt. Die Insolvenzverwalterin über das Vermögen der Teutoburger Möbelwerk GmbH, Bielefeld (Rechtsanwältin Dr. Friederike Sanftleben), fordert mit Schreiben vom 11.05.2026 die Rückgewähr von drei Zahlungen über zusammen 87.400,00 EUR, welche die Schuldnerin zwischen dem 01.12.2025 und dem 09.01.2026 auf fällige Rechnungen unserer Mandantin geleistet hat. Gestützt wird die Anfechtung auf § 130 Abs. 1 Satz 1 Nr. 1 InsO; der Eigenantrag der Schuldnerin datiert vom 12.01.2026, das Verfahren wurde am 01.04.2026 vor dem Amtsgericht Bielefeld (43 IN 12/26) eröffnet.</w:t>
      </w:r>
    </w:p>
    <w:p>
      <w:pPr>
        <w:spacing w:before="120" w:after="60" w:line="259" w:lineRule="auto"/>
        <w:jc w:val="left"/>
      </w:pPr>
      <w:r>
        <w:rPr>
          <w:rFonts w:ascii="Times New Roman" w:hAnsi="Times New Roman"/>
          <w:b/>
          <w:sz w:val="22"/>
        </w:rPr>
        <w:t>2 Erste Einschätzung</w:t>
      </w:r>
    </w:p>
    <w:p>
      <w:pPr>
        <w:spacing w:line="259" w:lineRule="auto" w:after="60"/>
        <w:jc w:val="left"/>
      </w:pPr>
      <w:r>
        <w:t>2.1 Die Kongruenz der Deckungen steht außer Streit: Alle drei Rechnungen waren bei Zahlung fällig, gezahlt wurde durch Überweisung in geschuldeter Weise. Der Bargeschäftseinwand nach § 142 InsO hilft nicht, weil die Zahlungen keine gleichwertige neue Gegenleistung in engem zeitlichen Zusammenhang abgelten, sondern Altrechnungen aus August bis November 2025.</w:t>
      </w:r>
    </w:p>
    <w:p>
      <w:pPr>
        <w:spacing w:line="259" w:lineRule="auto" w:after="60"/>
        <w:jc w:val="left"/>
      </w:pPr>
      <w:r>
        <w:t>2.2 Entscheidend ist allein die Kenntnisfrage: Wusste unsere Mandantin zur Zeit der jeweiligen Zahlung, dass die Schuldnerin zahlungsunfähig war, oder kannte sie Umstände, die zwingend auf die Zahlungsunfähigkeit schließen lassen (§ 130 Abs. 2 InsO)? Die interne Aktenlage der Mandantin ist zweischneidig. Belastend: dreistufiger Mahnlauf, zwei Lastschriftrückgaben im Oktober 2025, die E-Mail des Geschäftsführers Havermann vom 26.11.2025 („wir können derzeit nur zahlen, wenn Sie liefern"), die Ratenzahlungsbitte vom 02.12.2025 und der interne Vermerk des Vertriebsleiters Kaczmarek vom 05.12.2025 („Bonität rot"). Entlastend: Zwei Zwischenrechnungen aus Oktober und November 2025 wurden vor Fälligkeit bezahlt, die Fachpresse berichtete am 21.11.2025 über einen Großauftrag der Schuldnerin, und die Rückstände wurden — wenn auch unter dem Druck des angedrohten Lieferstopps — bis Anfang Januar vollständig ausgeglichen.</w:t>
      </w:r>
    </w:p>
    <w:p>
      <w:pPr>
        <w:spacing w:line="259" w:lineRule="auto" w:after="60"/>
        <w:jc w:val="left"/>
      </w:pPr>
      <w:r>
        <w:t>2.3 Zu prüfen ist ferner, ob die Verwalterin die Zahlungsunfähigkeit der Schuldnerin im Zahlungszeitraum überhaupt schlüssig darlegt. Ihr Schreiben datiert den Eintritt auf den Beginn des Dreimonatszeitraums (12.10.2025); die als Anlagen übersandte BWA-Reihe und die OPOS-Liste scheinen allerdings eine erheblich frühere Krise zu belegen. Das ist für uns nicht nur ungefährlich: Je früher die Zahlungsunfähigkeit objektiv vorlag, desto länger der Zeitraum, in dem sich Indizien für eine Kenntnis unserer Mandantin angesammelt haben können. Die Anlagen sind daher sorgfältig auszuwerten.</w:t>
      </w:r>
    </w:p>
    <w:p>
      <w:pPr>
        <w:spacing w:line="259" w:lineRule="auto" w:after="60"/>
        <w:jc w:val="left"/>
      </w:pPr>
      <w:r>
        <w:t>3 Nächste Schritte</w:t>
      </w:r>
    </w:p>
    <w:p>
      <w:pPr>
        <w:spacing w:line="259" w:lineRule="auto" w:after="60"/>
        <w:jc w:val="left"/>
      </w:pPr>
      <w:r>
        <w:t>Erwiderung bis zur gesetzten Frist (30.06.2026) entwerfen; Besprechung mit Frau Stollberg und Herrn Kaczmarek am 09.06.2026; interne E-Mail-Korrespondenz Oktober bis Dezember 2025 vollständig beiziehen; Deckungsanfrage bei der Vermögensschadenhaftpflicht ist nicht veranlasst, Streitwertrisiko circa 87.400,00 EUR zuzüglich Zinsen seit Eröffnung.</w:t>
      </w:r>
    </w:p>
    <w:p>
      <w:pPr>
        <w:spacing w:line="259" w:lineRule="auto" w:after="60"/>
        <w:jc w:val="left"/>
      </w:pPr>
      <w:r>
        <w:t>Dr. Broscheit</w:t>
      </w:r>
    </w:p>
    <w:p>
      <w:pPr>
        <w:spacing w:line="259" w:lineRule="auto" w:after="60"/>
        <w:jc w:val="left"/>
      </w:pPr>
      <w:r>
        <w:t>Rechtsanwalt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