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Forderungsaufstellung der HebeFix Beschlagtechnik GmbH (intern)</w:t>
      </w:r>
    </w:p>
    <w:p>
      <w:pPr>
        <w:spacing w:line="259" w:lineRule="auto" w:after="60"/>
        <w:jc w:val="left"/>
      </w:pPr>
      <w:r>
        <w:rPr>
          <w:b/>
        </w:rPr>
        <w:t>HebeFix Beschlagtechnik GmbH</w:t>
      </w:r>
      <w:r>
        <w:t xml:space="preserve"> · Poststraße 12 · 42551 Velbert · Buchhaltung, Frau Ines Dahlke</w:t>
      </w:r>
    </w:p>
    <w:p>
      <w:pPr>
        <w:spacing w:line="259" w:lineRule="auto" w:after="60"/>
        <w:jc w:val="left"/>
      </w:pPr>
      <w:r>
        <w:t>Erstellt am 22.05.2026 für Rechtsanwalt Dr. Broscheit — Kundenkonto 10447 Teutoburger Möbelwerk GmbH, Bielefeld</w:t>
      </w:r>
    </w:p>
    <w:p>
      <w:pPr>
        <w:spacing w:before="120" w:after="60" w:line="259" w:lineRule="auto"/>
        <w:jc w:val="left"/>
      </w:pPr>
      <w:r>
        <w:rPr>
          <w:rFonts w:ascii="Times New Roman" w:hAnsi="Times New Roman"/>
          <w:b/>
          <w:sz w:val="22"/>
        </w:rPr>
        <w:t>Aufstellung aller Rechnungen und Zahlungen Oktober 2024 bis Januar 2026</w:t>
      </w:r>
    </w:p>
    <w:p>
      <w:pPr>
        <w:spacing w:before="120" w:after="60" w:line="259" w:lineRule="auto"/>
        <w:jc w:val="left"/>
      </w:pPr>
      <w:r>
        <w:rPr>
          <w:rFonts w:ascii="Times New Roman" w:hAnsi="Times New Roman"/>
          <w:b/>
          <w:sz w:val="22"/>
        </w:rPr>
        <w:t>Sehr geehrter Herr Dr. Broscheit,</w:t>
      </w:r>
    </w:p>
    <w:p>
      <w:pPr>
        <w:spacing w:line="259" w:lineRule="auto" w:after="60"/>
        <w:jc w:val="left"/>
      </w:pPr>
      <w:r>
        <w:t>wie in der Besprechung vom 20.05.2026 zugesagt, erhalten Sie die vollständige Aufstellung unseres Kundenkontos für die Teutoburger Möbelwerk GmbH. Die Geschäftsbeziehung besteht seit 2014; die Schuldnerin bezog bei uns Topfscharniere, Vollauszüge und Klappenbeschläge, zuletzt mit einem Jahresumsatz von rund 310.000,00 EUR. Vereinbart war Zahlung binnen 30 Tagen rein netto; seit 2021 bestand ein SEPA-Firmenlastschriftmandat, das wir bei ausbleibender Deckung nicht mehr genutzt haben.</w:t>
      </w:r>
    </w:p>
    <w:p>
      <w:pPr>
        <w:spacing w:before="120" w:after="60" w:line="259" w:lineRule="auto"/>
        <w:jc w:val="left"/>
      </w:pPr>
      <w:r>
        <w:rPr>
          <w:rFonts w:ascii="Times New Roman" w:hAnsi="Times New Roman"/>
          <w:b/>
          <w:sz w:val="22"/>
        </w:rPr>
        <w:t>1 Rechnungen und Zahlungsverhalten bis September 2025</w:t>
      </w:r>
    </w:p>
    <w:p>
      <w:pPr>
        <w:spacing w:line="259" w:lineRule="auto" w:after="60"/>
        <w:jc w:val="left"/>
      </w:pPr>
      <w:r>
        <w:t>Bis einschließlich Juli 2025 wurde das Konto im Wesentlichen vertragsgerecht geführt; vereinzelte Überschreitungen des Zahlungsziels um bis zu zwei Wochen kamen seit Herbst 2024 vor, wurden aber stets ohne Mahnung ausgeglichen. Ab August 2025 kippte das Bild: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Rechnung</w:t>
            </w:r>
          </w:p>
        </w:tc>
        <w:tc>
          <w:tcPr>
            <w:tcW w:type="dxa" w:w="1814"/>
          </w:tcPr>
          <w:p>
            <w:r>
              <w:rPr>
                <w:rFonts w:ascii="Times New Roman" w:hAnsi="Times New Roman"/>
                <w:b/>
                <w:sz w:val="20"/>
              </w:rPr>
              <w:t>Datum</w:t>
            </w:r>
          </w:p>
        </w:tc>
        <w:tc>
          <w:tcPr>
            <w:tcW w:type="dxa" w:w="1814"/>
          </w:tcPr>
          <w:p>
            <w:r>
              <w:rPr>
                <w:rFonts w:ascii="Times New Roman" w:hAnsi="Times New Roman"/>
                <w:b/>
                <w:sz w:val="20"/>
              </w:rPr>
              <w:t>Betrag</w:t>
            </w:r>
          </w:p>
        </w:tc>
        <w:tc>
          <w:tcPr>
            <w:tcW w:type="dxa" w:w="1814"/>
          </w:tcPr>
          <w:p>
            <w:r>
              <w:rPr>
                <w:rFonts w:ascii="Times New Roman" w:hAnsi="Times New Roman"/>
                <w:b/>
                <w:sz w:val="20"/>
              </w:rPr>
              <w:t>Fälligkeit</w:t>
            </w:r>
          </w:p>
        </w:tc>
        <w:tc>
          <w:tcPr>
            <w:tcW w:type="dxa" w:w="1814"/>
          </w:tcPr>
          <w:p>
            <w:r>
              <w:rPr>
                <w:rFonts w:ascii="Times New Roman" w:hAnsi="Times New Roman"/>
                <w:b/>
                <w:sz w:val="20"/>
              </w:rPr>
              <w:t>Ausgleich</w:t>
            </w:r>
          </w:p>
        </w:tc>
      </w:tr>
      <w:tr>
        <w:tc>
          <w:tcPr>
            <w:tcW w:type="dxa" w:w="1814"/>
          </w:tcPr>
          <w:p>
            <w:r>
              <w:rPr>
                <w:rFonts w:ascii="Times New Roman" w:hAnsi="Times New Roman"/>
                <w:sz w:val="20"/>
              </w:rPr>
              <w:t>RE-2025-4411</w:t>
            </w:r>
          </w:p>
        </w:tc>
        <w:tc>
          <w:tcPr>
            <w:tcW w:type="dxa" w:w="1814"/>
          </w:tcPr>
          <w:p>
            <w:r>
              <w:rPr>
                <w:rFonts w:ascii="Times New Roman" w:hAnsi="Times New Roman"/>
                <w:sz w:val="20"/>
              </w:rPr>
              <w:t>28.08.2025</w:t>
            </w:r>
          </w:p>
        </w:tc>
        <w:tc>
          <w:tcPr>
            <w:tcW w:type="dxa" w:w="1814"/>
          </w:tcPr>
          <w:p>
            <w:r>
              <w:rPr>
                <w:rFonts w:ascii="Times New Roman" w:hAnsi="Times New Roman"/>
                <w:sz w:val="20"/>
              </w:rPr>
              <w:t>28.700,00 EUR</w:t>
            </w:r>
          </w:p>
        </w:tc>
        <w:tc>
          <w:tcPr>
            <w:tcW w:type="dxa" w:w="1814"/>
          </w:tcPr>
          <w:p>
            <w:r>
              <w:rPr>
                <w:rFonts w:ascii="Times New Roman" w:hAnsi="Times New Roman"/>
                <w:sz w:val="20"/>
              </w:rPr>
              <w:t>27.09.2025</w:t>
            </w:r>
          </w:p>
        </w:tc>
        <w:tc>
          <w:tcPr>
            <w:tcW w:type="dxa" w:w="1814"/>
          </w:tcPr>
          <w:p>
            <w:r>
              <w:rPr>
                <w:rFonts w:ascii="Times New Roman" w:hAnsi="Times New Roman"/>
                <w:sz w:val="20"/>
              </w:rPr>
              <w:t>01.12.2025 (Überweisung)</w:t>
            </w:r>
          </w:p>
        </w:tc>
      </w:tr>
      <w:tr>
        <w:tc>
          <w:tcPr>
            <w:tcW w:type="dxa" w:w="1814"/>
          </w:tcPr>
          <w:p>
            <w:r>
              <w:rPr>
                <w:rFonts w:ascii="Times New Roman" w:hAnsi="Times New Roman"/>
                <w:sz w:val="20"/>
              </w:rPr>
              <w:t>RE-2025-4736</w:t>
            </w:r>
          </w:p>
        </w:tc>
        <w:tc>
          <w:tcPr>
            <w:tcW w:type="dxa" w:w="1814"/>
          </w:tcPr>
          <w:p>
            <w:r>
              <w:rPr>
                <w:rFonts w:ascii="Times New Roman" w:hAnsi="Times New Roman"/>
                <w:sz w:val="20"/>
              </w:rPr>
              <w:t>30.09.2025</w:t>
            </w:r>
          </w:p>
        </w:tc>
        <w:tc>
          <w:tcPr>
            <w:tcW w:type="dxa" w:w="1814"/>
          </w:tcPr>
          <w:p>
            <w:r>
              <w:rPr>
                <w:rFonts w:ascii="Times New Roman" w:hAnsi="Times New Roman"/>
                <w:sz w:val="20"/>
              </w:rPr>
              <w:t>31.200,00 EUR</w:t>
            </w:r>
          </w:p>
        </w:tc>
        <w:tc>
          <w:tcPr>
            <w:tcW w:type="dxa" w:w="1814"/>
          </w:tcPr>
          <w:p>
            <w:r>
              <w:rPr>
                <w:rFonts w:ascii="Times New Roman" w:hAnsi="Times New Roman"/>
                <w:sz w:val="20"/>
              </w:rPr>
              <w:t>30.10.2025</w:t>
            </w:r>
          </w:p>
        </w:tc>
        <w:tc>
          <w:tcPr>
            <w:tcW w:type="dxa" w:w="1814"/>
          </w:tcPr>
          <w:p>
            <w:r>
              <w:rPr>
                <w:rFonts w:ascii="Times New Roman" w:hAnsi="Times New Roman"/>
                <w:sz w:val="20"/>
              </w:rPr>
              <w:t>19.12.2025 (Überweisung)</w:t>
            </w:r>
          </w:p>
        </w:tc>
      </w:tr>
      <w:tr>
        <w:tc>
          <w:tcPr>
            <w:tcW w:type="dxa" w:w="1814"/>
          </w:tcPr>
          <w:p>
            <w:r>
              <w:rPr>
                <w:rFonts w:ascii="Times New Roman" w:hAnsi="Times New Roman"/>
                <w:sz w:val="20"/>
              </w:rPr>
              <w:t>RE-2025-4890</w:t>
            </w:r>
          </w:p>
        </w:tc>
        <w:tc>
          <w:tcPr>
            <w:tcW w:type="dxa" w:w="1814"/>
          </w:tcPr>
          <w:p>
            <w:r>
              <w:rPr>
                <w:rFonts w:ascii="Times New Roman" w:hAnsi="Times New Roman"/>
                <w:sz w:val="20"/>
              </w:rPr>
              <w:t>15.10.2025</w:t>
            </w:r>
          </w:p>
        </w:tc>
        <w:tc>
          <w:tcPr>
            <w:tcW w:type="dxa" w:w="1814"/>
          </w:tcPr>
          <w:p>
            <w:r>
              <w:rPr>
                <w:rFonts w:ascii="Times New Roman" w:hAnsi="Times New Roman"/>
                <w:sz w:val="20"/>
              </w:rPr>
              <w:t>6.420,00 EUR</w:t>
            </w:r>
          </w:p>
        </w:tc>
        <w:tc>
          <w:tcPr>
            <w:tcW w:type="dxa" w:w="1814"/>
          </w:tcPr>
          <w:p>
            <w:r>
              <w:rPr>
                <w:rFonts w:ascii="Times New Roman" w:hAnsi="Times New Roman"/>
                <w:sz w:val="20"/>
              </w:rPr>
              <w:t>14.11.2025</w:t>
            </w:r>
          </w:p>
        </w:tc>
        <w:tc>
          <w:tcPr>
            <w:tcW w:type="dxa" w:w="1814"/>
          </w:tcPr>
          <w:p>
            <w:r>
              <w:rPr>
                <w:rFonts w:ascii="Times New Roman" w:hAnsi="Times New Roman"/>
                <w:sz w:val="20"/>
              </w:rPr>
              <w:t>12.11.2025 (Überweisung, vor Fälligkeit)</w:t>
            </w:r>
          </w:p>
        </w:tc>
      </w:tr>
      <w:tr>
        <w:tc>
          <w:tcPr>
            <w:tcW w:type="dxa" w:w="1814"/>
          </w:tcPr>
          <w:p>
            <w:r>
              <w:rPr>
                <w:rFonts w:ascii="Times New Roman" w:hAnsi="Times New Roman"/>
                <w:sz w:val="20"/>
              </w:rPr>
              <w:t>RE-2025-5102</w:t>
            </w:r>
          </w:p>
        </w:tc>
        <w:tc>
          <w:tcPr>
            <w:tcW w:type="dxa" w:w="1814"/>
          </w:tcPr>
          <w:p>
            <w:r>
              <w:rPr>
                <w:rFonts w:ascii="Times New Roman" w:hAnsi="Times New Roman"/>
                <w:sz w:val="20"/>
              </w:rPr>
              <w:t>05.11.2025</w:t>
            </w:r>
          </w:p>
        </w:tc>
        <w:tc>
          <w:tcPr>
            <w:tcW w:type="dxa" w:w="1814"/>
          </w:tcPr>
          <w:p>
            <w:r>
              <w:rPr>
                <w:rFonts w:ascii="Times New Roman" w:hAnsi="Times New Roman"/>
                <w:sz w:val="20"/>
              </w:rPr>
              <w:t>27.500,00 EUR</w:t>
            </w:r>
          </w:p>
        </w:tc>
        <w:tc>
          <w:tcPr>
            <w:tcW w:type="dxa" w:w="1814"/>
          </w:tcPr>
          <w:p>
            <w:r>
              <w:rPr>
                <w:rFonts w:ascii="Times New Roman" w:hAnsi="Times New Roman"/>
                <w:sz w:val="20"/>
              </w:rPr>
              <w:t>05.12.2025</w:t>
            </w:r>
          </w:p>
        </w:tc>
        <w:tc>
          <w:tcPr>
            <w:tcW w:type="dxa" w:w="1814"/>
          </w:tcPr>
          <w:p>
            <w:r>
              <w:rPr>
                <w:rFonts w:ascii="Times New Roman" w:hAnsi="Times New Roman"/>
                <w:sz w:val="20"/>
              </w:rPr>
              <w:t>09.01.2026 (Überweisung)</w:t>
            </w:r>
          </w:p>
        </w:tc>
      </w:tr>
      <w:tr>
        <w:tc>
          <w:tcPr>
            <w:tcW w:type="dxa" w:w="1814"/>
          </w:tcPr>
          <w:p>
            <w:r>
              <w:rPr>
                <w:rFonts w:ascii="Times New Roman" w:hAnsi="Times New Roman"/>
                <w:sz w:val="20"/>
              </w:rPr>
              <w:t>RE-2025-5288</w:t>
            </w:r>
          </w:p>
        </w:tc>
        <w:tc>
          <w:tcPr>
            <w:tcW w:type="dxa" w:w="1814"/>
          </w:tcPr>
          <w:p>
            <w:r>
              <w:rPr>
                <w:rFonts w:ascii="Times New Roman" w:hAnsi="Times New Roman"/>
                <w:sz w:val="20"/>
              </w:rPr>
              <w:t>28.11.2025</w:t>
            </w:r>
          </w:p>
        </w:tc>
        <w:tc>
          <w:tcPr>
            <w:tcW w:type="dxa" w:w="1814"/>
          </w:tcPr>
          <w:p>
            <w:r>
              <w:rPr>
                <w:rFonts w:ascii="Times New Roman" w:hAnsi="Times New Roman"/>
                <w:sz w:val="20"/>
              </w:rPr>
              <w:t>5.130,00 EUR</w:t>
            </w:r>
          </w:p>
        </w:tc>
        <w:tc>
          <w:tcPr>
            <w:tcW w:type="dxa" w:w="1814"/>
          </w:tcPr>
          <w:p>
            <w:r>
              <w:rPr>
                <w:rFonts w:ascii="Times New Roman" w:hAnsi="Times New Roman"/>
                <w:sz w:val="20"/>
              </w:rPr>
              <w:t>28.12.2025</w:t>
            </w:r>
          </w:p>
        </w:tc>
        <w:tc>
          <w:tcPr>
            <w:tcW w:type="dxa" w:w="1814"/>
          </w:tcPr>
          <w:p>
            <w:r>
              <w:rPr>
                <w:rFonts w:ascii="Times New Roman" w:hAnsi="Times New Roman"/>
                <w:sz w:val="20"/>
              </w:rPr>
              <w:t>22.12.2025 (Überweisung, vor Fälligkeit)</w:t>
            </w:r>
          </w:p>
        </w:tc>
      </w:tr>
    </w:tbl>
    <w:p>
      <w:pPr>
        <w:spacing w:line="259" w:lineRule="auto" w:after="60"/>
        <w:jc w:val="left"/>
      </w:pPr>
      <w:r>
        <w:t>2 Lastschriftrückgaben</w:t>
      </w:r>
    </w:p>
    <w:p>
      <w:pPr>
        <w:spacing w:line="259" w:lineRule="auto" w:after="60"/>
        <w:jc w:val="left"/>
      </w:pPr>
      <w:r>
        <w:t>Den Einzug der Rechnung RE-2025-4411 haben wir zweimal versucht. Die SEPA-Lastschrift vom 06.10.2025 wurde am 08.10.2025 mit dem Rückgabegrund AM04 (Deckung unzureichend) zurückgegeben, der erneute Einzug vom 20.10.2025 am 22.10.2025 mit demselben Rückgabegrund. Die Rückgabeentgelte von jeweils 7,50 EUR haben wir dem Kundenkonto belastet und mit der Schlusszahlung verrechnet. Danach haben wir keine Einzüge mehr vorgenommen.</w:t>
      </w:r>
    </w:p>
    <w:p>
      <w:pPr>
        <w:spacing w:line="259" w:lineRule="auto" w:after="60"/>
        <w:jc w:val="left"/>
      </w:pPr>
      <w:r>
        <w:t>3 Mahnlauf</w:t>
      </w:r>
    </w:p>
    <w:p>
      <w:pPr>
        <w:spacing w:line="259" w:lineRule="auto" w:after="60"/>
        <w:jc w:val="left"/>
      </w:pPr>
      <w:r>
        <w:t>Unser Mahnlauf ist dreistufig und systemgesteuert: Mahnstufe 1 vom 02.10.2025 (RE-2025-4411, freundliche Erinnerung), Mahnstufe 2 vom 03.11.2025 (RE-2025-4411 und RE-2025-4736, Fristsetzung und Verzugszinsen), Mahnstufe 3 vom 24.11.2025 (letzte Mahnung mit Androhung des Lieferstopps und der Übergabe an unseren Rechtsdienstleister). Die Mahnungen der Stufen 1 und 3 liegen Ihnen als Aktenstücke vor; die Stufe 2 ist inhaltlich in der Stufe 3 wiedergegeben.</w:t>
      </w:r>
    </w:p>
    <w:p>
      <w:pPr>
        <w:spacing w:line="259" w:lineRule="auto" w:after="60"/>
        <w:jc w:val="left"/>
      </w:pPr>
      <w:r>
        <w:t>4 Besonderheiten</w:t>
      </w:r>
    </w:p>
    <w:p>
      <w:pPr>
        <w:spacing w:line="259" w:lineRule="auto" w:after="60"/>
        <w:jc w:val="left"/>
      </w:pPr>
      <w:r>
        <w:t>Der Besuch unseres Vertriebsleiters Herrn Kaczmarek bei der Schuldnerin am 04.12.2025 sowie sein interner Vermerk vom 05.12.2025 sind Ihnen bekannt. Die beiden vor Fälligkeit bezahlten Rechnungen RE-2025-4890 und RE-2025-5288 betrafen Beschläge für den in der Presse berichteten Hotelauftrag; die Schuldnerin hatte um getrennte Fakturierung gebeten, weil diese Positionen „direkt aus dem Projekt bezahlt" würden. Ab dem 12.01.2026 haben wir nur noch gegen Vorkasse geliefert; offene Forderungen bestanden bei Antragstellung nicht mehr.</w:t>
      </w:r>
    </w:p>
    <w:p>
      <w:pPr>
        <w:spacing w:line="259" w:lineRule="auto" w:after="60"/>
        <w:jc w:val="left"/>
      </w:pPr>
      <w:r>
        <w:t>Für Rückfragen stehe ich gerne zur Verfügung.</w:t>
      </w:r>
    </w:p>
    <w:p>
      <w:pPr>
        <w:spacing w:line="259" w:lineRule="auto" w:after="60"/>
        <w:jc w:val="left"/>
      </w:pPr>
      <w:r>
        <w:t>Mit freundlichen Grüßen</w:t>
      </w:r>
    </w:p>
    <w:p>
      <w:pPr>
        <w:spacing w:line="259" w:lineRule="auto" w:after="60"/>
        <w:jc w:val="left"/>
      </w:pPr>
      <w:r>
        <w:t>Ines Dahlke</w:t>
      </w:r>
    </w:p>
    <w:p>
      <w:pPr>
        <w:spacing w:line="259" w:lineRule="auto" w:after="60"/>
        <w:jc w:val="left"/>
      </w:pPr>
      <w:r>
        <w:t>Leiterin Finanzbuchhaltung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