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spacing w:after="160" w:line="259" w:lineRule="auto"/>
      </w:pPr>
      <w:r>
        <w:rPr>
          <w:rFonts w:ascii="Times New Roman" w:hAnsi="Times New Roman"/>
          <w:b/>
          <w:sz w:val="28"/>
        </w:rPr>
        <w:t>Interner Besuchs- und Bonitätsvermerk des Vertriebsleiters</w:t>
      </w:r>
    </w:p>
    <w:p>
      <w:pPr>
        <w:spacing w:before="120" w:after="60" w:line="259" w:lineRule="auto"/>
        <w:jc w:val="left"/>
      </w:pPr>
      <w:r>
        <w:rPr>
          <w:rFonts w:ascii="Times New Roman" w:hAnsi="Times New Roman"/>
          <w:b/>
          <w:sz w:val="22"/>
        </w:rPr>
        <w:t>HebeFix Beschlagtechnik GmbH</w:t>
      </w:r>
      <w:r>
        <w:rPr>
          <w:rFonts w:ascii="Times New Roman" w:hAnsi="Times New Roman"/>
          <w:b/>
          <w:sz w:val="22"/>
        </w:rPr>
        <w:t xml:space="preserve"> · Vertrieb · Poststraße 12 · 42551 Velbert</w:t>
      </w:r>
    </w:p>
    <w:p>
      <w:pPr>
        <w:spacing w:line="259" w:lineRule="auto" w:after="60"/>
        <w:jc w:val="left"/>
      </w:pPr>
      <w:r>
        <w:t>Verfasser: Ralf Kaczmarek, Vertriebsleiter · Verteiler: Geschäftsführung (Frau Stollberg), Finanzbuchhaltung (Frau Dahlke) · Vertraulich</w:t>
      </w:r>
    </w:p>
    <w:p>
      <w:pPr>
        <w:spacing w:before="120" w:after="60" w:line="259" w:lineRule="auto"/>
        <w:jc w:val="left"/>
      </w:pPr>
      <w:r>
        <w:rPr>
          <w:rFonts w:ascii="Times New Roman" w:hAnsi="Times New Roman"/>
          <w:b/>
          <w:sz w:val="22"/>
        </w:rPr>
        <w:t>Velbert, den 05.12.2025</w:t>
      </w:r>
    </w:p>
    <w:p>
      <w:pPr>
        <w:spacing w:line="259" w:lineRule="auto" w:after="60"/>
        <w:jc w:val="left"/>
      </w:pPr>
      <w:r>
        <w:rPr>
          <w:b/>
        </w:rPr>
        <w:t>Vermerk zum Kundenbesuch Teutoburger Möbelwerk GmbH, Bielefeld, am 04.12.2025 — Kundennummer 10447</w:t>
      </w:r>
    </w:p>
    <w:p>
      <w:pPr>
        <w:spacing w:before="120" w:after="60" w:line="259" w:lineRule="auto"/>
        <w:jc w:val="left"/>
      </w:pPr>
      <w:r>
        <w:rPr>
          <w:rFonts w:ascii="Times New Roman" w:hAnsi="Times New Roman"/>
          <w:b/>
          <w:sz w:val="22"/>
        </w:rPr>
        <w:t>1 Anlass und Gesprächspartner</w:t>
      </w:r>
    </w:p>
    <w:p>
      <w:pPr>
        <w:spacing w:line="259" w:lineRule="auto" w:after="60"/>
        <w:jc w:val="left"/>
      </w:pPr>
      <w:r>
        <w:t>Besuch auf Wunsch der Geschäftsführung nach Eingang der Ratenzahlungsbitte vom 02.12.2025. Gesprächspartner vor Ort: Geschäftsführer Havermann, kaufmännische Leiterin Frau Wienkötter. Dauer circa zwei Stunden einschließlich Betriebsrundgang.</w:t>
      </w:r>
    </w:p>
    <w:p>
      <w:pPr>
        <w:spacing w:before="120" w:after="60" w:line="259" w:lineRule="auto"/>
        <w:jc w:val="left"/>
      </w:pPr>
      <w:r>
        <w:rPr>
          <w:rFonts w:ascii="Times New Roman" w:hAnsi="Times New Roman"/>
          <w:b/>
          <w:sz w:val="22"/>
        </w:rPr>
        <w:t>2 Eindruck vom Betrieb</w:t>
      </w:r>
    </w:p>
    <w:p>
      <w:pPr>
        <w:spacing w:line="259" w:lineRule="auto" w:after="60"/>
        <w:jc w:val="left"/>
      </w:pPr>
      <w:r>
        <w:t>Die Fertigung läuft einschichtig, die zweite Schicht ist seit Oktober ausgesetzt. In der Endmontage stehen die Korpusse für den Arkadia-Auftrag; das Beschlaglager ist erkennbar leergeräumt, unsere letzten Lieferungen wurden nach Aussage des Meisters „direkt an die Linie" gefahren. Zwei Flurförderfahrzeuge sind stillgelegt, nach Angabe von Frau Wienkötter „wegen auslaufender Leasingverträge". Auf dem Hof stand ein Fahrzeug eines Gerichtsvollziehers; Herr Havermann erklärte auf Nachfrage, es handele sich um „eine erledigte Altsache" (Werkzeugstahl Hagen, siehe unten).</w:t>
      </w:r>
    </w:p>
    <w:p>
      <w:pPr>
        <w:spacing w:line="259" w:lineRule="auto" w:after="60"/>
        <w:jc w:val="left"/>
      </w:pPr>
      <w:r>
        <w:t>3 Zahlen und Aussagen</w:t>
      </w:r>
    </w:p>
    <w:p>
      <w:pPr>
        <w:spacing w:line="259" w:lineRule="auto" w:after="60"/>
        <w:jc w:val="left"/>
      </w:pPr>
      <w:r>
        <w:t>Frau Wienkötter legte eine Umsatzplanung vor, die für das erste Quartal 2026 einen Umsatz von 1,4 Millionen EUR aus dem Hotelauftrag vorsieht. Auf meine Frage nach den übrigen Verbindlichkeiten wurde ausweichend geantwortet; eingeräumt wurden Rückstände beim Finanzamt („im Gespräch über Stundung") und „geschobene" Beiträge bei der Einzugsstelle. Herr Havermann bekräftigte die Aussage aus seiner E-Mail vom 26.11.2025, dass Zahlungen an uns nur bei fortgesetzter Belieferung möglich seien, weil sonst der Hotelauftrag und damit „alles" kippe. Von der Werkzeugstahl Hagen GmbH liegt nach Aussage eines dortigen Kollegen (Telefonat vom 03.12.2025) ein Vollstreckungsauftrag vor; das deckt sich mit dem Gerichtsvollzieherfahrzeug.</w:t>
      </w:r>
    </w:p>
    <w:p>
      <w:pPr>
        <w:spacing w:line="259" w:lineRule="auto" w:after="60"/>
        <w:jc w:val="left"/>
      </w:pPr>
      <w:r>
        <w:t>4 Bewertung und Empfehlung</w:t>
      </w:r>
    </w:p>
    <w:p>
      <w:pPr>
        <w:spacing w:line="259" w:lineRule="auto" w:after="60"/>
        <w:jc w:val="left"/>
      </w:pPr>
      <w:r>
        <w:t xml:space="preserve">Bonität aus meiner Sicht: </w:t>
      </w:r>
      <w:r>
        <w:rPr>
          <w:b/>
        </w:rPr>
        <w:t>rot</w:t>
      </w:r>
      <w:r>
        <w:t>. Der Kunde ist nach allem, was wir sehen, seit Monaten nicht in der Lage, seine fälligen Verbindlichkeiten im Ganzen zu bedienen, und bedient erkennbar nur noch, wer Druck macht oder wen er für den Hotelauftrag braucht. Meine Empfehlung: Umstellung auf Vorkasse für alle Neuaufträge ab sofort? Zur Diskussion in der GF-Runde am 09.12.2025. Gegenargument aus Vertriebssicht: Der Arkadia-Auftrag ist real (Bericht im Westfälischen Wirtschaftsblatt vom 21.11.2025, Bestellungen bei uns passen zum Volumen), die Abschlagszahlung im Januar erscheint plausibel, und bei Vorkasse verlieren wir den Kunden nach dem Auftrag mit Sicherheit an Blum-kompatible Wettbewerber. Wenn die Raten zum 19.12.2025 und 16.01.2026 pünktlich kommen, können wir die Linie halten; kommt eine Rate nicht, sofortiger Lieferstopp.</w:t>
      </w:r>
    </w:p>
    <w:p>
      <w:pPr>
        <w:spacing w:line="259" w:lineRule="auto" w:after="60"/>
        <w:jc w:val="left"/>
      </w:pPr>
      <w:r>
        <w:t>5 Entscheidung der Geschäftsführung (Nachtrag vom 09.12.2025)</w:t>
      </w:r>
    </w:p>
    <w:p>
      <w:pPr>
        <w:spacing w:line="259" w:lineRule="auto" w:after="60"/>
        <w:jc w:val="left"/>
      </w:pPr>
      <w:r>
        <w:t>Frau Stollberg entscheidet: Ratenplan wird angenommen, Belieferung läuft weiter, aber nur gegen wöchentliche Bestellwertdeckelung von 12.000,00 EUR; keine Vorkasse-Umstellung vor dem 16.01.2026. Wiedervorlage 16.01.2026.</w:t>
      </w:r>
    </w:p>
    <w:p>
      <w:pPr>
        <w:spacing w:line="259" w:lineRule="auto" w:after="60"/>
        <w:jc w:val="left"/>
      </w:pPr>
      <w:r>
        <w:t>Kaczmarek</w:t>
      </w:r>
    </w:p>
    <w:p>
      <w:pPr>
        <w:spacing w:line="259" w:lineRule="auto" w:after="60"/>
        <w:jc w:val="left"/>
      </w:pPr>
      <w:r>
        <w:t>Vertriebsleiter</w:t>
      </w:r>
    </w:p>
    <w:sectPr w:rsidR="00FC693F" w:rsidRPr="0006063C" w:rsidSect="00034616">
      <w:headerReference w:type="default" r:id="rId9"/>
      <w:footerReference w:type="default" r:id="rId10"/>
      <w:pgSz w:w="11906" w:h="16838"/>
      <w:pgMar w:top="1191" w:right="1247" w:bottom="1134" w:left="136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left"/>
    </w:pPr>
    <w:r/>
    <w:r>
      <w:rPr>
        <w:rFonts w:ascii="Times New Roman" w:hAnsi="Times New Roman"/>
        <w:b w:val="0"/>
        <w:color w:val="777777"/>
        <w:sz w:val="17"/>
      </w:rPr>
      <w:t>Vertraulich | Bearbeitungsstand Juli 2026 | nur zur Aktenbearbeitung</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
      <w:rPr>
        <w:rFonts w:ascii="Times New Roman" w:hAnsi="Times New Roman"/>
        <w:b w:val="0"/>
        <w:i w:val="0"/>
        <w:color w:val="666666"/>
        <w:sz w:val="17"/>
      </w:rPr>
      <w:t>Lindenhof und Partner mbB | Insolvenz- und Restrukturierungsakte | Bearbeitungsstand Juli 2026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b/>
      <w:color w:val="17365D" w:themeColor="text2" w:themeShade="BF"/>
      <w:spacing w:val="5"/>
      <w:kern w:val="28"/>
      <w:sz w:val="3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