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Interner Vermerk</w:t>
      </w:r>
    </w:p>
    <w:p>
      <w:pPr>
        <w:spacing w:line="259" w:lineRule="auto" w:after="60"/>
        <w:jc w:val="left"/>
      </w:pPr>
      <w:r>
        <w:rPr>
          <w:b/>
        </w:rPr>
        <w:t>Bernstorf Insolvenzverwaltung</w:t>
      </w:r>
      <w:r>
        <w:t xml:space="preserve"> · Rechtsanwältin Dr. Ilka Bernstorf · Große Bleiche 27 · 55116 Mainz</w:t>
      </w:r>
    </w:p>
    <w:p>
      <w:pPr>
        <w:spacing w:line="259" w:lineRule="auto" w:after="60"/>
        <w:jc w:val="left"/>
      </w:pPr>
      <w:r>
        <w:rPr>
          <w:rFonts w:ascii="Times New Roman" w:hAnsi="Times New Roman"/>
          <w:b w:val="0"/>
          <w:i w:val="0"/>
          <w:sz w:val="22"/>
        </w:rPr>
        <w:t>Aktenzeichen: 041/26 IB · Verfahren: Domblick Weinkellerei-Betriebs-GmbH, AG Mainz 273 IN 45/26</w:t>
      </w:r>
    </w:p>
    <w:p>
      <w:pPr>
        <w:spacing w:before="120" w:after="60" w:line="259" w:lineRule="auto"/>
        <w:jc w:val="left"/>
      </w:pPr>
      <w:r>
        <w:rPr>
          <w:rFonts w:ascii="Times New Roman" w:hAnsi="Times New Roman"/>
          <w:b/>
          <w:sz w:val="22"/>
        </w:rPr>
        <w:t>Mainz, 4. Mai 2026</w:t>
      </w:r>
    </w:p>
    <w:p>
      <w:pPr>
        <w:spacing w:before="120" w:after="60" w:line="259" w:lineRule="auto"/>
        <w:jc w:val="left"/>
      </w:pPr>
      <w:r>
        <w:rPr>
          <w:rFonts w:ascii="Times New Roman" w:hAnsi="Times New Roman"/>
          <w:b/>
          <w:sz w:val="22"/>
        </w:rPr>
        <w:t>Verfasserin: Dr. Bernstorf · Verteiler: Handakte Anfechtung Sparkasse</w:t>
      </w:r>
    </w:p>
    <w:p>
      <w:pPr>
        <w:pStyle w:val="Heading2"/>
        <w:spacing w:before="120" w:after="60" w:line="259" w:lineRule="auto"/>
      </w:pPr>
      <w:r>
        <w:rPr>
          <w:rFonts w:ascii="Times New Roman" w:hAnsi="Times New Roman"/>
          <w:b/>
          <w:sz w:val="22"/>
        </w:rPr>
        <w:t>1 Gegenstand</w:t>
      </w:r>
    </w:p>
    <w:p>
      <w:pPr>
        <w:spacing w:line="259" w:lineRule="auto" w:after="60"/>
        <w:jc w:val="left"/>
      </w:pPr>
      <w:r>
        <w:t>Der Vermerk fasst den Stand der Anfechtungsprüfung gegen die Sparkasse Weinbergland Mainz zusammen und legt die nächsten Bearbeitungsschritte fest. Das Verfahren über das Vermögen der Domblick Weinkellerei-Betriebs-GmbH ist am 1. Mai 2026 eröffnet worden; ich bin zur Insolvenzverwalterin bestellt. Als vorläufige Verwalterin hatte ich seit dem 3. März 2026 Zugriff auf die vollständigen Kontounterlagen.</w:t>
      </w:r>
    </w:p>
    <w:p>
      <w:pPr>
        <w:pStyle w:val="Heading2"/>
        <w:spacing w:before="120" w:after="60" w:line="259" w:lineRule="auto"/>
      </w:pPr>
      <w:r>
        <w:rPr>
          <w:rFonts w:ascii="Times New Roman" w:hAnsi="Times New Roman"/>
          <w:b/>
          <w:sz w:val="22"/>
        </w:rPr>
        <w:t>2 Sachverhalt in Kurzform</w:t>
      </w:r>
    </w:p>
    <w:p>
      <w:pPr>
        <w:spacing w:line="259" w:lineRule="auto" w:after="60"/>
        <w:jc w:val="left"/>
      </w:pPr>
      <w:r>
        <w:t>2.1 Die Schuldnerin betrieb eine Weinkellerei mit Abfüllung und Vertrieb in Mainz-Laubenheim. Ihre einzige nennenswerte Bankverbindung war das Kontokorrentkonto bei der Sparkasse Weinbergland Mainz mit einer eingeräumten Linie von ursprünglich 480.000,00 EUR (Kreditvertrag vom 15. März 2022, Aktenstück 02).</w:t>
      </w:r>
    </w:p>
    <w:p>
      <w:pPr>
        <w:spacing w:line="259" w:lineRule="auto" w:after="60"/>
        <w:jc w:val="left"/>
      </w:pPr>
      <w:r>
        <w:t>2.2 Die Sparkasse hat die Linie nicht gekündigt. Sie hat die Linie stattdessen im Dreimonatszeitraum vor dem Eröffnungsantrag vom 2. März 2026 in drei Schritten auf 120.000,00 EUR herabgesetzt: am 5. Dezember 2025 auf 360.000,00 EUR, am 14. Januar 2026 auf 240.000,00 EUR und am 10. Februar 2026 auf 120.000,00 EUR (Aktenstücke 04 bis 06). Alle drei Vereinbarungen sind als „einvernehmliche Anpassung" überschrieben. Der Geschäftsführer Sattlmaier hat mir gegenüber erklärt, er habe unterschrieben, weil der Firmenkundenbetreuer andernfalls die fristlose Kündigung des Engagements und die sofortige Fälligstellung in Aussicht gestellt habe.</w:t>
      </w:r>
    </w:p>
    <w:p>
      <w:pPr>
        <w:spacing w:line="259" w:lineRule="auto" w:after="60"/>
        <w:jc w:val="left"/>
      </w:pPr>
      <w:r>
        <w:t>2.3 Der Debetsaldo betrug am 2. Dezember 2025 471.800,00 EUR und am 2. März 2026 noch 111.800,00 EUR. Die Sparkasse hat im Dreimonatszeitraum Zahlungseingänge von 476.100,00 EUR vereinnahmt und Verfügungen von lediglich 116.100,00 EUR zugelassen. Die Verrechnung führte zu einer Rückführung des Solls um 360.000,00 EUR (Tagessaldenliste, Aktenstück 10).</w:t>
      </w:r>
    </w:p>
    <w:p>
      <w:pPr>
        <w:spacing w:line="259" w:lineRule="auto" w:after="60"/>
        <w:jc w:val="left"/>
      </w:pPr>
      <w:r>
        <w:t>2.4 Am 26. Januar 2026 wurde der Sparkasse als Drittschuldnerin der Pfändungs- und Überweisungsbeschluss des Amtsgerichts Mainz vom 19. Januar 2026 (34 M 4457/25) zugunsten der Glashandel Rheinglas Bodenheim GmbH über 48.730,12 EUR zugestellt (Aktenstück 07). Die Sparkasse hat auch nach der Zustellung sämtliche Eingänge mit dem Debetsaldo verrechnet; das Verrechnungsvolumen ab Zustellung beträgt 207.450,00 EUR.</w:t>
      </w:r>
    </w:p>
    <w:p>
      <w:pPr>
        <w:pStyle w:val="Heading2"/>
        <w:spacing w:line="259" w:lineRule="auto" w:after="60"/>
      </w:pPr>
      <w:r>
        <w:rPr>
          <w:rFonts w:ascii="Times New Roman" w:hAnsi="Times New Roman"/>
        </w:rPr>
        <w:t>3 Anfechtungsrechtliche Arbeitsthesen</w:t>
      </w:r>
    </w:p>
    <w:p>
      <w:pPr>
        <w:spacing w:line="259" w:lineRule="auto" w:after="60"/>
        <w:jc w:val="left"/>
      </w:pPr>
      <w:r>
        <w:t>3.1 Die Verrechnung der Eingänge im letzten Monat vor dem Antrag sowie im zweiten und dritten Monat ist an § 130 Abs. 1 Satz 1 Nr. 1 InsO und an § 131 Abs. 1 InsO zu messen. Zu klären ist, ob die Verrechnungen nach der jeweils erzwungenen Herabsetzung der Linie noch kongruent waren: Vor der Herabsetzung hatte die Schuldnerin einen Anspruch auf Wiederausnutzung der Linie; die Sparkasse hat sich diesen Anspruch durch die Anpassungsvereinbarungen Schritt für Schritt abschneiden lassen und die Eingänge endgültig vereinnahmt. Ob eine in der Krise erzwungene Linienreduzierung mit anschließender Verrechnung eine inkongruente Deckung im Sinne des § 131 Abs. 1 InsO darstellt, weil die Sparkasse diese Art der Rückführung „nicht in der Art" zu beanspruchen hatte, ist die zentrale Rechtsfrage des Mandats.</w:t>
      </w:r>
    </w:p>
    <w:p>
      <w:pPr>
        <w:spacing w:line="259" w:lineRule="auto" w:after="60"/>
        <w:jc w:val="left"/>
      </w:pPr>
      <w:r>
        <w:t>3.2 Für die Kenntnis der Zahlungsunfähigkeit (§ 130 Abs. 2 InsO) sprechen die der Sparkasse aus der eigenen Kontoführung bekannten Umstände: die seit April 2025 laufende Serie von Rücklastschriften, darunter wiederholt Sozialversicherungsbeiträge, zwei Scheckrückgaben, zwei Kontopfändungen des Finanzamts Mainz-Altstadt und der Einzugsstelle sowie die seit April 2025 nahezu durchgehend zu über 95 Prozent ausgereizte Linie (Aktenstücke 11 und 12). Hinzu kommt der interne Vermerk der Abteilung Intensivbetreuung vom 24. November 2025 (Aktenstück 03), den die Sparkasse selbst vorgelegt hat.</w:t>
      </w:r>
    </w:p>
    <w:p>
      <w:pPr>
        <w:spacing w:line="259" w:lineRule="auto" w:after="60"/>
        <w:jc w:val="left"/>
      </w:pPr>
      <w:r>
        <w:t>3.3 Gesondert zu prüfen ist die Verrechnung nach Zustellung der Kontopfändung vom 26. Januar 2026. Spätestens ab diesem Zeitpunkt wusste die Sparkasse von einer erwirkten Vollstreckungsmaßnahme eines Dritten; zugleich stellt sich die Frage des Rangverhältnisses zwischen Pfändungspfandrecht und fortgesetzter Verrechnung.</w:t>
      </w:r>
    </w:p>
    <w:p>
      <w:pPr>
        <w:pStyle w:val="Heading2"/>
        <w:spacing w:line="259" w:lineRule="auto" w:after="60"/>
      </w:pPr>
      <w:r>
        <w:rPr>
          <w:rFonts w:ascii="Times New Roman" w:hAnsi="Times New Roman"/>
        </w:rPr>
        <w:t>4 Insolvenzreife</w:t>
      </w:r>
    </w:p>
    <w:p>
      <w:pPr>
        <w:spacing w:line="259" w:lineRule="auto" w:after="60"/>
        <w:jc w:val="left"/>
      </w:pPr>
      <w:r>
        <w:t>Nach dem Eigenantrag soll die Zahlungsunfähigkeit „Mitte Januar 2026" eingetreten sein. Die betriebswirtschaftlichen Auswertungen der Schuldnerin weisen demgegenüber bereits ab April 2025 eine Unterdeckung der fälligen Verbindlichkeiten von mehr als 10 Prozent aus, die bis Dezember 2025 auf über 46 Prozent angewachsen ist (Aktenstück 13). Die Diskrepanz ist für den Anfechtungszeitraum und für die Kenntnisfrage aufzuarbeiten; ein Sachverständigengutachten zur Insolvenzreife liegt nicht vor und ist derzeit nicht beauftragt.</w:t>
      </w:r>
    </w:p>
    <w:p>
      <w:pPr>
        <w:pStyle w:val="Heading2"/>
        <w:spacing w:line="259" w:lineRule="auto" w:after="60"/>
      </w:pPr>
      <w:r>
        <w:rPr>
          <w:rFonts w:ascii="Times New Roman" w:hAnsi="Times New Roman"/>
        </w:rPr>
        <w:t>5 Nächste Schritte</w:t>
      </w:r>
    </w:p>
    <w:p>
      <w:pPr>
        <w:spacing w:line="259" w:lineRule="auto" w:after="60"/>
        <w:jc w:val="left"/>
      </w:pPr>
      <w:r>
        <w:t>5.1 Anfechtungsschreiben an die Sparkasse mit Berechnung der Saldenrückführung und Zahlungsaufforderung über 360.000,00 EUR nebst Zinsen (erledigt mit Schreiben vom 12. Mai 2026, Aktenstück 14).</w:t>
      </w:r>
    </w:p>
    <w:p>
      <w:pPr>
        <w:spacing w:line="259" w:lineRule="auto" w:after="60"/>
        <w:jc w:val="left"/>
      </w:pPr>
      <w:r>
        <w:t>5.2 Auswertung der Erwiderung der Sparkasse, insbesondere zu deren Kongruenz-Argumentation und zum vorgelegten Intensivbetreuungsvermerk.</w:t>
      </w:r>
    </w:p>
    <w:p>
      <w:pPr>
        <w:spacing w:line="259" w:lineRule="auto" w:after="60"/>
        <w:jc w:val="left"/>
      </w:pPr>
      <w:r>
        <w:t>5.3 Entscheidung über Klageerhebung vor dem Landgericht Mainz bis Ende August 2026; Verjährung ist nicht kritisch, gleichwohl zügige Bearbeitung.</w:t>
      </w:r>
    </w:p>
    <w:p>
      <w:pPr>
        <w:spacing w:line="259" w:lineRule="auto" w:after="60"/>
        <w:jc w:val="left"/>
      </w:pPr>
      <w:r>
        <w:t>Dr. Ilka Bernstorf</w:t>
      </w:r>
    </w:p>
    <w:p>
      <w:pPr>
        <w:spacing w:line="259" w:lineRule="auto" w:after="60"/>
        <w:jc w:val="left"/>
      </w:pPr>
      <w:r>
        <w:t>Rechtsanwältin, Insolvenzverwalterin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