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Kontokorrentkreditvertrag</w:t>
      </w:r>
    </w:p>
    <w:p>
      <w:pPr>
        <w:spacing w:line="259" w:lineRule="auto" w:after="60"/>
        <w:jc w:val="left"/>
      </w:pPr>
      <w:r>
        <w:rPr>
          <w:b/>
        </w:rPr>
        <w:t>Sparkasse Weinbergland Mainz</w:t>
      </w:r>
      <w:r>
        <w:t xml:space="preserve"> · Anstalt des öffentlichen Rechts · Kaiserstraße 41 · 55116 Mainz</w:t>
      </w:r>
    </w:p>
    <w:p>
      <w:pPr>
        <w:spacing w:before="120" w:after="60" w:line="259" w:lineRule="auto"/>
        <w:jc w:val="left"/>
      </w:pPr>
      <w:r>
        <w:rPr>
          <w:rFonts w:ascii="Times New Roman" w:hAnsi="Times New Roman"/>
          <w:b/>
          <w:sz w:val="22"/>
        </w:rPr>
        <w:t>Kredit-Nr. 4711-220315 · Kundennummer 2 004 711 022</w:t>
      </w:r>
    </w:p>
    <w:p>
      <w:pPr>
        <w:spacing w:before="120" w:after="60" w:line="259" w:lineRule="auto"/>
        <w:jc w:val="left"/>
      </w:pPr>
      <w:r>
        <w:rPr>
          <w:rFonts w:ascii="Times New Roman" w:hAnsi="Times New Roman"/>
          <w:b/>
          <w:sz w:val="22"/>
        </w:rPr>
        <w:t>zwischen</w:t>
      </w:r>
    </w:p>
    <w:p>
      <w:pPr>
        <w:spacing w:line="259" w:lineRule="auto" w:after="60"/>
        <w:jc w:val="left"/>
      </w:pPr>
      <w:r>
        <w:t>der Sparkasse Weinbergland Mainz, Kaiserstraße 41, 55116 Mainz — nachfolgend „Sparkasse" —</w:t>
      </w:r>
    </w:p>
    <w:p>
      <w:pPr>
        <w:spacing w:before="120" w:after="60" w:line="259" w:lineRule="auto"/>
        <w:jc w:val="left"/>
      </w:pPr>
      <w:r>
        <w:rPr>
          <w:rFonts w:ascii="Times New Roman" w:hAnsi="Times New Roman"/>
          <w:b/>
          <w:sz w:val="22"/>
        </w:rPr>
        <w:t>und</w:t>
      </w:r>
    </w:p>
    <w:p>
      <w:pPr>
        <w:spacing w:line="259" w:lineRule="auto" w:after="60"/>
        <w:jc w:val="left"/>
      </w:pPr>
      <w:r>
        <w:t>der Domblick Weinkellerei-Betriebs-GmbH, Laubenheimer Höhe 12, 55131 Mainz, eingetragen im Handelsregister des Amtsgerichts Mainz unter HRB 48213, vertreten durch den Geschäftsführer Bernhard Sattlmaier — nachfolgend „Kreditnehmerin" —</w:t>
      </w:r>
    </w:p>
    <w:p>
      <w:pPr>
        <w:pStyle w:val="Heading2"/>
        <w:spacing w:before="120" w:after="60" w:line="259" w:lineRule="auto"/>
      </w:pPr>
      <w:r>
        <w:rPr>
          <w:rFonts w:ascii="Times New Roman" w:hAnsi="Times New Roman"/>
          <w:b/>
          <w:sz w:val="22"/>
        </w:rPr>
        <w:t>1 Kreditart und Kredithöhe</w:t>
      </w:r>
    </w:p>
    <w:p>
      <w:pPr>
        <w:spacing w:line="259" w:lineRule="auto" w:after="60"/>
        <w:jc w:val="left"/>
      </w:pPr>
      <w:r>
        <w:t>Die Sparkasse räumt der Kreditnehmerin auf dem Geschäftskonto IBAN DE44 5555 0100 0004 7110 22 einen Kontokorrentkredit in Höhe von 480.000,00 EUR (in Worten: vierhundertachtzigtausend Euro) ein. Die Kreditnehmerin darf den Kredit im Rahmen der eingeräumten Linie wiederholt und in wechselnder Höhe in Anspruch nehmen.</w:t>
      </w:r>
    </w:p>
    <w:p>
      <w:pPr>
        <w:pStyle w:val="Heading2"/>
        <w:spacing w:line="259" w:lineRule="auto" w:after="60"/>
      </w:pPr>
      <w:r>
        <w:rPr>
          <w:rFonts w:ascii="Times New Roman" w:hAnsi="Times New Roman"/>
        </w:rPr>
        <w:t>2 Laufzeit und Verwendungszweck</w:t>
      </w:r>
    </w:p>
    <w:p>
      <w:pPr>
        <w:spacing w:line="259" w:lineRule="auto" w:after="60"/>
        <w:jc w:val="left"/>
      </w:pPr>
      <w:r>
        <w:t>Der Kredit wird bis auf Weiteres eingeräumt und dient der Finanzierung des laufenden Geschäftsbetriebs, insbesondere des Traubeneinkaufs, der Kellerwirtschaft und der Vorfinanzierung des Handelsgeschäfts. Eine anderweitige Verwendung bedarf der vorherigen Zustimmung der Sparkasse.</w:t>
      </w:r>
    </w:p>
    <w:p>
      <w:pPr>
        <w:pStyle w:val="Heading2"/>
        <w:spacing w:line="259" w:lineRule="auto" w:after="60"/>
      </w:pPr>
      <w:r>
        <w:rPr>
          <w:rFonts w:ascii="Times New Roman" w:hAnsi="Times New Roman"/>
        </w:rPr>
        <w:t>3 Zinsen und Entgelte</w:t>
      </w:r>
    </w:p>
    <w:p>
      <w:pPr>
        <w:spacing w:line="259" w:lineRule="auto" w:after="60"/>
        <w:jc w:val="left"/>
      </w:pPr>
      <w:r>
        <w:t>Der Sollzinssatz beträgt den Drei-Monats-EURIBOR zuzüglich einer Marge von 2.85 Prozentpunkten per annum, mindestens jedoch 3.25 Prozent per annum. Die Zinsen werden vierteljährlich nachträglich dem Konto belastet. Für geduldete Überziehungen über die eingeräumte Linie hinaus berechnet die Sparkasse einen Überziehungszins von zusätzlich 4.50 Prozentpunkten per annum auf den überschrittenen Betrag.</w:t>
      </w:r>
    </w:p>
    <w:p>
      <w:pPr>
        <w:pStyle w:val="Heading2"/>
        <w:spacing w:line="259" w:lineRule="auto" w:after="60"/>
      </w:pPr>
      <w:r>
        <w:rPr>
          <w:rFonts w:ascii="Times New Roman" w:hAnsi="Times New Roman"/>
        </w:rPr>
        <w:t>4 Sicherheiten</w:t>
      </w:r>
    </w:p>
    <w:p>
      <w:pPr>
        <w:spacing w:line="259" w:lineRule="auto" w:after="60"/>
        <w:jc w:val="left"/>
      </w:pPr>
      <w:r>
        <w:t>Zur Sicherung aller Ansprüche aus diesem Vertrag bestellt die Kreditnehmerin eine Buchgrundschuld über 250.000,00 EUR nebst 15 Prozent Zinsen jährlich an dem Betriebsgrundstück Laubenheimer Höhe 12, 55131 Mainz, eingetragen im Grundbuch von Mainz-Laubenheim Blatt 3127. Die Grundschuld tritt im Rang nach der zugunsten der Rheinhessischen Landwirtschaftlichen Rentenkasse eingetragenen Grundschuld über 900.000,00 EUR. Weitere Sicherheiten, insbesondere eine Abtretung von Forderungen aus Warenlieferungen, werden nicht bestellt.</w:t>
      </w:r>
    </w:p>
    <w:p>
      <w:pPr>
        <w:pStyle w:val="Heading2"/>
        <w:spacing w:line="259" w:lineRule="auto" w:after="60"/>
      </w:pPr>
      <w:r>
        <w:rPr>
          <w:rFonts w:ascii="Times New Roman" w:hAnsi="Times New Roman"/>
        </w:rPr>
        <w:t>5 Kündigung</w:t>
      </w:r>
    </w:p>
    <w:p>
      <w:pPr>
        <w:spacing w:line="259" w:lineRule="auto" w:after="60"/>
        <w:jc w:val="left"/>
      </w:pPr>
      <w:r>
        <w:t>Beide Parteien können den Vertrag jederzeit mit einer Frist von drei Monaten kündigen. Das Recht der Sparkasse zur fristlosen Kündigung aus wichtigem Grund, insbesondere bei einer wesentlichen Verschlechterung der Vermögensverhältnisse der Kreditnehmerin oder der Werthaltigkeit der Sicherheiten, bleibt unberührt. Nach Wirksamwerden einer Kündigung ist der Schlusssaldo sofort zur Rückzahlung fällig.</w:t>
      </w:r>
    </w:p>
    <w:p>
      <w:pPr>
        <w:pStyle w:val="Heading2"/>
        <w:spacing w:line="259" w:lineRule="auto" w:after="60"/>
      </w:pPr>
      <w:r>
        <w:rPr>
          <w:rFonts w:ascii="Times New Roman" w:hAnsi="Times New Roman"/>
        </w:rPr>
        <w:t>6 Allgemeine Geschäftsbedingungen</w:t>
      </w:r>
    </w:p>
    <w:p>
      <w:pPr>
        <w:spacing w:line="259" w:lineRule="auto" w:after="60"/>
        <w:jc w:val="left"/>
      </w:pPr>
      <w:r>
        <w:t>Ergänzend gelten die Allgemeinen Geschäftsbedingungen der Sparkasse in der jeweils gültigen Fassung, insbesondere das dort vereinbarte Pfandrecht an eingereichten Werten sowie die Regelungen über die Verrechnung von Ein- und Ausgängen im Kontokorrent nach § 355 des Handelsgesetzbuchs.</w:t>
      </w:r>
    </w:p>
    <w:p>
      <w:pPr>
        <w:pStyle w:val="Heading2"/>
        <w:spacing w:line="259" w:lineRule="auto" w:after="60"/>
      </w:pPr>
      <w:r>
        <w:rPr>
          <w:rFonts w:ascii="Times New Roman" w:hAnsi="Times New Roman"/>
        </w:rPr>
        <w:t>7 Schlussbestimmungen</w:t>
      </w:r>
    </w:p>
    <w:p>
      <w:pPr>
        <w:spacing w:line="259" w:lineRule="auto" w:after="60"/>
        <w:jc w:val="left"/>
      </w:pPr>
      <w:r>
        <w:t>Änderungen und Ergänzungen dieses Vertrags bedürfen der Textform. Sollte eine Bestimmung dieses Vertrags unwirksam sein oder werden, bleibt die Wirksamkeit der übrigen Bestimmungen unberührt. Erfüllungsort und Gerichtsstand ist, soweit gesetzlich zulässig, Mainz.</w:t>
      </w:r>
    </w:p>
    <w:p>
      <w:pPr>
        <w:spacing w:line="259" w:lineRule="auto" w:after="60"/>
        <w:jc w:val="left"/>
      </w:pPr>
      <w:r>
        <w:t>Mainz, den 15. März 2022</w:t>
      </w:r>
    </w:p>
    <w:p>
      <w:pPr>
        <w:spacing w:line="259" w:lineRule="auto" w:after="60"/>
        <w:jc w:val="left"/>
      </w:pPr>
      <w:r>
        <w:t>Sparkasse Weinbergland Mainz — gez. Jörg Tremmel (Firmenkundenbetreuung), gez. ppa. Claudia Roggenkamp (Marktfolge Kredit)</w:t>
      </w:r>
    </w:p>
    <w:p>
      <w:pPr>
        <w:spacing w:line="259" w:lineRule="auto" w:after="60"/>
        <w:jc w:val="left"/>
      </w:pPr>
      <w:r>
        <w:t>Domblick Weinkellerei-Betriebs-GmbH — gez. Bernhard Sattlmaier (Geschäftsführer)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