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Anpassungsvereinbarung Nr. 3 zum Kontokorrentkreditvertrag vom 15. März 2022</w:t>
      </w:r>
    </w:p>
    <w:p>
      <w:pPr>
        <w:spacing w:line="259" w:lineRule="auto" w:after="60"/>
        <w:jc w:val="left"/>
      </w:pPr>
      <w:r>
        <w:rPr>
          <w:b/>
        </w:rPr>
        <w:t>Sparkasse Weinbergland Mainz</w:t>
      </w:r>
      <w:r>
        <w:t xml:space="preserve"> · Kaiserstraße 41 · 55116 Mainz · Kredit-Nr. 4711-220315</w:t>
      </w:r>
    </w:p>
    <w:p>
      <w:pPr>
        <w:spacing w:line="259" w:lineRule="auto" w:after="60"/>
        <w:jc w:val="left"/>
      </w:pPr>
      <w:r>
        <w:t>zwischen der Sparkasse Weinbergland Mainz — nachfolgend „Sparkasse" — und der Domblick Weinkellerei-Betriebs-GmbH, Laubenheimer Höhe 12, 55131 Mainz, vertreten durch den Geschäftsführer Bernhard Sattlmaier — nachfolgend „Kreditnehmerin" —</w:t>
      </w:r>
    </w:p>
    <w:p>
      <w:pPr>
        <w:pStyle w:val="Heading2"/>
        <w:spacing w:before="120" w:after="60" w:line="259" w:lineRule="auto"/>
      </w:pPr>
      <w:r>
        <w:rPr>
          <w:rFonts w:ascii="Times New Roman" w:hAnsi="Times New Roman"/>
          <w:b/>
          <w:sz w:val="22"/>
        </w:rPr>
        <w:t>1 Anlass</w:t>
      </w:r>
    </w:p>
    <w:p>
      <w:pPr>
        <w:spacing w:line="259" w:lineRule="auto" w:after="60"/>
        <w:jc w:val="left"/>
      </w:pPr>
      <w:r>
        <w:t>In Fortführung der Anpassungsvereinbarungen Nr. 1 vom 5. Dezember 2025 und Nr. 2 vom 14. Januar 2026 haben die Parteien die Entwicklung des Engagements erneut bewertet. Der Sollsaldo lag am 9. Februar 2026 bei 217.350,00 EUR. Die Sparkasse hat erklärt, das Engagement ohne eine weitere Anpassung nicht fortführen zu können.</w:t>
      </w:r>
    </w:p>
    <w:p>
      <w:pPr>
        <w:pStyle w:val="Heading2"/>
        <w:spacing w:before="120" w:after="60" w:line="259" w:lineRule="auto"/>
      </w:pPr>
      <w:r>
        <w:rPr>
          <w:rFonts w:ascii="Times New Roman" w:hAnsi="Times New Roman"/>
          <w:b/>
          <w:sz w:val="22"/>
        </w:rPr>
        <w:t>2 Herabsetzung der Kreditlinie</w:t>
      </w:r>
    </w:p>
    <w:p>
      <w:pPr>
        <w:spacing w:line="259" w:lineRule="auto" w:after="60"/>
        <w:jc w:val="left"/>
      </w:pPr>
      <w:r>
        <w:t>Die Kontokorrentlinie wird mit Wirkung ab dem 10. Februar 2026 einvernehmlich von 240.000,00 EUR auf 120.000,00 EUR herabgesetzt. Soweit der Sollsaldo die herabgesetzte Linie übersteigt, gilt der übersteigende Betrag als geduldete Überziehung, die aus den laufenden Zahlungseingängen unverzüglich zurückzuführen ist.</w:t>
      </w:r>
    </w:p>
    <w:p>
      <w:pPr>
        <w:pStyle w:val="Heading2"/>
        <w:spacing w:before="120" w:after="60" w:line="259" w:lineRule="auto"/>
      </w:pPr>
      <w:r>
        <w:rPr>
          <w:rFonts w:ascii="Times New Roman" w:hAnsi="Times New Roman"/>
          <w:b/>
          <w:sz w:val="22"/>
        </w:rPr>
        <w:t>3 Rückführung aus Zahlungseingängen</w:t>
      </w:r>
    </w:p>
    <w:p>
      <w:pPr>
        <w:spacing w:line="259" w:lineRule="auto" w:after="60"/>
        <w:jc w:val="left"/>
      </w:pPr>
      <w:r>
        <w:t>Die Ziffern 3 der Anpassungsvereinbarungen Nr. 1 und Nr. 2 gelten fort. Verfügungen der Kreditnehmerin werden bis zur vollständigen Rückführung der Überziehung nur ausgeführt, soweit die Sparkasse sie zuvor im Einzelfall schriftlich oder in Textform freigegeben hat. Die Sparkasse behält sich vor, auch freigabefähige Aufträge zurückzustellen, solange gepfändete Beträge auf dem Konto nicht abschließend zugeordnet sind.</w:t>
      </w:r>
    </w:p>
    <w:p>
      <w:pPr>
        <w:pStyle w:val="Heading2"/>
        <w:spacing w:line="259" w:lineRule="auto" w:after="60"/>
      </w:pPr>
      <w:r>
        <w:rPr>
          <w:rFonts w:ascii="Times New Roman" w:hAnsi="Times New Roman"/>
        </w:rPr>
        <w:t>4 Fortgeltung im Übrigen</w:t>
      </w:r>
    </w:p>
    <w:p>
      <w:pPr>
        <w:spacing w:line="259" w:lineRule="auto" w:after="60"/>
        <w:jc w:val="left"/>
      </w:pPr>
      <w:r>
        <w:t>Alle übrigen Bestimmungen des Kontokorrentkreditvertrags vom 15. März 2022 und der Anpassungsvereinbarungen Nr. 1 und Nr. 2 bleiben unverändert. Die Rechte der Sparkasse zur fristlosen Kündigung aus wichtigem Grund bleiben unberührt.</w:t>
      </w:r>
    </w:p>
    <w:p>
      <w:pPr>
        <w:pStyle w:val="Heading2"/>
        <w:spacing w:line="259" w:lineRule="auto" w:after="60"/>
      </w:pPr>
      <w:r>
        <w:rPr>
          <w:rFonts w:ascii="Times New Roman" w:hAnsi="Times New Roman"/>
        </w:rPr>
        <w:t>5 Überprüfung</w:t>
      </w:r>
    </w:p>
    <w:p>
      <w:pPr>
        <w:spacing w:line="259" w:lineRule="auto" w:after="60"/>
        <w:jc w:val="left"/>
      </w:pPr>
      <w:r>
        <w:t>Die Parteien werden die Entwicklung des Engagements spätestens Ende März 2026 erneut gemeinsam bewerten.</w:t>
      </w:r>
    </w:p>
    <w:p>
      <w:pPr>
        <w:spacing w:line="259" w:lineRule="auto" w:after="60"/>
        <w:jc w:val="left"/>
      </w:pPr>
      <w:r>
        <w:t>Mainz, den 10. Februar 2026</w:t>
      </w:r>
    </w:p>
    <w:p>
      <w:pPr>
        <w:spacing w:line="259" w:lineRule="auto" w:after="60"/>
        <w:jc w:val="left"/>
      </w:pPr>
      <w:r>
        <w:t>Sparkasse Weinbergland Mainz — gez. Jörg Tremmel, gez. ppa. Claudia Roggenkamp</w:t>
      </w:r>
    </w:p>
    <w:p>
      <w:pPr>
        <w:spacing w:line="259" w:lineRule="auto" w:after="60"/>
        <w:jc w:val="left"/>
      </w:pPr>
      <w:r>
        <w:t>Domblick Weinkellerei-Betriebs-GmbH — gez. Bernhard Sattlmaier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