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Antrag auf Eröffnung des Insolvenzverfahrens (Eigenantrag)</w:t>
      </w:r>
    </w:p>
    <w:p>
      <w:pPr>
        <w:spacing w:line="259" w:lineRule="auto" w:after="60"/>
        <w:jc w:val="left"/>
      </w:pPr>
      <w:r>
        <w:rPr>
          <w:b/>
        </w:rPr>
        <w:t>Domblick Weinkellerei-Betriebs-GmbH</w:t>
      </w:r>
      <w:r>
        <w:t xml:space="preserve"> · Laubenheimer Höhe 12 · 55131 Mainz · HRB 48213 (AG Mainz)</w:t>
      </w:r>
    </w:p>
    <w:p>
      <w:pPr>
        <w:spacing w:before="120" w:after="60" w:line="259" w:lineRule="auto"/>
        <w:jc w:val="left"/>
      </w:pPr>
      <w:r>
        <w:rPr>
          <w:rFonts w:ascii="Times New Roman" w:hAnsi="Times New Roman"/>
          <w:b/>
          <w:sz w:val="22"/>
        </w:rPr>
        <w:t>An das Amtsgericht Mainz — Insolvenzgericht — Ernst-Ludwig-Straße 7, 55116 Mainz</w:t>
      </w:r>
    </w:p>
    <w:p>
      <w:pPr>
        <w:spacing w:before="120" w:after="60" w:line="259" w:lineRule="auto"/>
        <w:jc w:val="left"/>
      </w:pPr>
      <w:r>
        <w:rPr>
          <w:rFonts w:ascii="Times New Roman" w:hAnsi="Times New Roman"/>
          <w:b/>
          <w:sz w:val="22"/>
        </w:rPr>
        <w:t>Mainz, den 2. März 2026</w:t>
      </w:r>
    </w:p>
    <w:p>
      <w:pPr>
        <w:spacing w:line="259" w:lineRule="auto" w:after="60"/>
        <w:jc w:val="left"/>
      </w:pPr>
      <w:r>
        <w:t>Betreff: Antrag auf Eröffnung des Insolvenzverfahrens über das Vermögen der Domblick Weinkellerei-Betriebs-GmbH</w:t>
      </w:r>
    </w:p>
    <w:p>
      <w:pPr>
        <w:spacing w:before="120" w:after="60" w:line="259" w:lineRule="auto"/>
        <w:jc w:val="left"/>
      </w:pPr>
      <w:r>
        <w:rPr>
          <w:rFonts w:ascii="Times New Roman" w:hAnsi="Times New Roman"/>
          <w:b/>
          <w:sz w:val="22"/>
        </w:rPr>
        <w:t>Sehr geehrte Damen und Herren,</w:t>
      </w:r>
    </w:p>
    <w:p>
      <w:pPr>
        <w:spacing w:line="259" w:lineRule="auto" w:after="60"/>
        <w:jc w:val="left"/>
      </w:pPr>
      <w:r>
        <w:t>als alleiniger Geschäftsführer der Domblick Weinkellerei-Betriebs-GmbH beantrage ich,</w:t>
      </w:r>
    </w:p>
    <w:p>
      <w:pPr>
        <w:spacing w:line="259" w:lineRule="auto" w:after="60"/>
        <w:jc w:val="left"/>
      </w:pPr>
      <w:r>
        <w:t>das Insolvenzverfahren über das Vermögen der Domblick Weinkellerei-Betriebs-GmbH, Laubenheimer Höhe 12, 55131 Mainz, eingetragen im Handelsregister des Amtsgerichts Mainz unter HRB 48213, zu eröffnen.</w:t>
      </w:r>
    </w:p>
    <w:p>
      <w:pPr>
        <w:pStyle w:val="Heading2"/>
        <w:spacing w:line="259" w:lineRule="auto" w:after="60"/>
      </w:pPr>
      <w:r>
        <w:rPr>
          <w:rFonts w:ascii="Times New Roman" w:hAnsi="Times New Roman"/>
        </w:rPr>
        <w:t>1 Eröffnungsgrund</w:t>
      </w:r>
    </w:p>
    <w:p>
      <w:pPr>
        <w:spacing w:line="259" w:lineRule="auto" w:after="60"/>
        <w:jc w:val="left"/>
      </w:pPr>
      <w:r>
        <w:t>Die Gesellschaft ist zahlungsunfähig (§ 17 InsO). Die Zahlungsunfähigkeit ist Mitte Januar 2026 eingetreten. Nachdem die Sparkasse Weinbergland Mainz die Kontokorrentlinie am 14. Januar 2026 zum zweiten Mal — von 360.000,00 EUR auf 240.000,00 EUR — herabgesetzt hatte, konnte die Gesellschaft die laufenden Löhne, die Sozialversicherungsbeiträge und die fälligen Lieferantenverbindlichkeiten nicht mehr bedienen. Die dritte Herabsetzung der Linie auf 120.000,00 EUR am 10. Februar 2026 hat der Gesellschaft die letzte Liquidität entzogen; seither werden Überweisungsaufträge von der Sparkasse überwiegend nicht mehr ausgeführt. Bis zum Jahreswechsel konnte der Geschäftsbetrieb aus den laufenden Einnahmen des Weihnachtsgeschäfts nach meiner Einschätzung noch ordnungsgemäß geführt werden.</w:t>
      </w:r>
    </w:p>
    <w:p>
      <w:pPr>
        <w:pStyle w:val="Heading2"/>
        <w:spacing w:line="259" w:lineRule="auto" w:after="60"/>
      </w:pPr>
      <w:r>
        <w:rPr>
          <w:rFonts w:ascii="Times New Roman" w:hAnsi="Times New Roman"/>
        </w:rPr>
        <w:t>2 Verhältnisse der Gesellschaft</w:t>
      </w:r>
    </w:p>
    <w:p>
      <w:pPr>
        <w:spacing w:line="259" w:lineRule="auto" w:after="60"/>
        <w:jc w:val="left"/>
      </w:pPr>
      <w:r>
        <w:t>Die Gesellschaft betreibt eine Weinkellerei mit Abfüllung und Handelsgeschäft und beschäftigt 14 Arbeitnehmerinnen und Arbeitnehmer. Der Umsatz des Geschäftsjahres 2025 betrug rund 2.593.000,00 EUR. Wesentliche Vermögenswerte sind das Betriebsgrundstück Laubenheimer Höhe 12 (belastet mit Grundschulden über 900.000,00 EUR und 250.000,00 EUR), das Warenlager mit einem Buchwert von rund 410.000,00 EUR sowie Forderungen aus Lieferungen und Leistungen von rund 185.000,00 EUR.</w:t>
      </w:r>
    </w:p>
    <w:p>
      <w:pPr>
        <w:pStyle w:val="Heading2"/>
        <w:spacing w:line="259" w:lineRule="auto" w:after="60"/>
      </w:pPr>
      <w:r>
        <w:rPr>
          <w:rFonts w:ascii="Times New Roman" w:hAnsi="Times New Roman"/>
        </w:rPr>
        <w:t>3 Verbindlichkeiten</w:t>
      </w:r>
    </w:p>
    <w:p>
      <w:pPr>
        <w:spacing w:line="259" w:lineRule="auto" w:after="60"/>
        <w:jc w:val="left"/>
      </w:pPr>
      <w:r>
        <w:t>Die Verbindlichkeiten belaufen sich nach dem beigefügten Gläubigerverzeichnis auf rund 1.694.000,00 EUR. Die wesentlichen Gläubiger sind die Sparkasse Weinbergland Mainz (Kontokorrentsaldo per 2. März 2026: 111.800,00 EUR zuzüglich Grundschuldsicherung), die Rheinhessische Landwirtschaftliche Rentenkasse (Restdarlehen 823.000,00 EUR), die Winzergenossenschaft Goldbachtal eG (168.400,00 EUR), das Finanzamt Mainz-Altstadt (Umsatzsteuerrückstände 96.200,00 EUR), die Handelskrankenkasse Mitte als Einzugsstelle (61.300,00 EUR), die Glashandel Rheinglas Bodenheim GmbH (48.730,12 EUR tituliert) sowie weitere Lieferanten und Dienstleister.</w:t>
      </w:r>
    </w:p>
    <w:p>
      <w:pPr>
        <w:pStyle w:val="Heading2"/>
        <w:spacing w:line="259" w:lineRule="auto" w:after="60"/>
      </w:pPr>
      <w:r>
        <w:rPr>
          <w:rFonts w:ascii="Times New Roman" w:hAnsi="Times New Roman"/>
        </w:rPr>
        <w:t>4 Anlagen</w:t>
      </w:r>
    </w:p>
    <w:p>
      <w:pPr>
        <w:spacing w:line="259" w:lineRule="auto" w:after="60"/>
        <w:jc w:val="left"/>
      </w:pPr>
      <w:r>
        <w:t>Dem Antrag sind beigefügt: das Verzeichnis der Gläubiger und ihrer Forderungen, das Vermögensverzeichnis, die betriebswirtschaftlichen Auswertungen für das Jahr 2025, die Kontoauszüge der letzten sechs Monate sowie die Erklärung nach § 13 Abs. 1 Satz 3 InsO. Ich versichere die Vollständigkeit und Richtigkeit der Angaben.</w:t>
      </w:r>
    </w:p>
    <w:p>
      <w:pPr>
        <w:spacing w:line="259" w:lineRule="auto" w:after="60"/>
        <w:jc w:val="left"/>
      </w:pPr>
      <w:r>
        <w:t>Ich rege an, einen vorläufigen Insolvenzverwalter zu bestellen, damit die Weinbestände fachgerecht gesichert werden können.</w:t>
      </w:r>
    </w:p>
    <w:p>
      <w:pPr>
        <w:spacing w:line="259" w:lineRule="auto" w:after="60"/>
        <w:jc w:val="left"/>
      </w:pPr>
      <w:r>
        <w:t>Mit freundlichen Grüßen</w:t>
      </w:r>
    </w:p>
    <w:p>
      <w:pPr>
        <w:spacing w:line="259" w:lineRule="auto" w:after="60"/>
        <w:jc w:val="left"/>
      </w:pPr>
      <w:r>
        <w:t>Bernhard Sattlmaier</w:t>
      </w:r>
    </w:p>
    <w:p>
      <w:pPr>
        <w:spacing w:line="259" w:lineRule="auto" w:after="60"/>
        <w:jc w:val="left"/>
      </w:pPr>
      <w:r>
        <w:t>Geschäftsführer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