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Beschluss</w:t>
      </w:r>
    </w:p>
    <w:p>
      <w:pPr>
        <w:spacing w:before="120" w:after="60" w:line="259" w:lineRule="auto"/>
        <w:jc w:val="left"/>
      </w:pPr>
      <w:r>
        <w:rPr>
          <w:rFonts w:ascii="Times New Roman" w:hAnsi="Times New Roman"/>
          <w:b/>
          <w:sz w:val="22"/>
        </w:rPr>
        <w:t>Amtsgericht Mainz</w:t>
      </w:r>
      <w:r>
        <w:rPr>
          <w:rFonts w:ascii="Times New Roman" w:hAnsi="Times New Roman"/>
          <w:b/>
          <w:sz w:val="22"/>
        </w:rPr>
        <w:t xml:space="preserve"> — Insolvenzgericht — Ernst-Ludwig-Straße 7 · 55116 Mainz</w:t>
      </w:r>
    </w:p>
    <w:p>
      <w:pPr>
        <w:spacing w:before="120" w:after="60" w:line="259" w:lineRule="auto"/>
        <w:jc w:val="left"/>
      </w:pPr>
      <w:r>
        <w:rPr>
          <w:rFonts w:ascii="Times New Roman" w:hAnsi="Times New Roman"/>
          <w:b/>
          <w:sz w:val="22"/>
        </w:rPr>
        <w:t>Geschäftsnummer: 273 IN 45/26</w:t>
      </w:r>
    </w:p>
    <w:p>
      <w:pPr>
        <w:spacing w:before="120" w:after="60" w:line="259" w:lineRule="auto"/>
        <w:jc w:val="left"/>
      </w:pPr>
      <w:r>
        <w:rPr>
          <w:rFonts w:ascii="Times New Roman" w:hAnsi="Times New Roman"/>
          <w:b/>
          <w:sz w:val="22"/>
        </w:rPr>
        <w:t>Mainz, den 1. Mai 2026</w:t>
      </w:r>
    </w:p>
    <w:p>
      <w:pPr>
        <w:spacing w:line="259" w:lineRule="auto" w:after="60"/>
        <w:jc w:val="left"/>
      </w:pPr>
      <w:r>
        <w:t>In dem Insolvenzeröffnungsverfahren über das Vermögen der Domblick Weinkellerei-Betriebs-GmbH, Laubenheimer Höhe 12, 55131 Mainz, eingetragen im Handelsregister des Amtsgerichts Mainz unter HRB 48213, vertreten durch den Geschäftsführer Bernhard Sattlmaier, ebenda,</w:t>
      </w:r>
    </w:p>
    <w:p>
      <w:pPr>
        <w:spacing w:before="120" w:after="60" w:line="259" w:lineRule="auto"/>
        <w:jc w:val="left"/>
      </w:pPr>
      <w:r>
        <w:rPr>
          <w:rFonts w:ascii="Times New Roman" w:hAnsi="Times New Roman"/>
          <w:b/>
          <w:sz w:val="22"/>
        </w:rPr>
        <w:t>wird beschlossen:</w:t>
      </w:r>
    </w:p>
    <w:p>
      <w:pPr>
        <w:pStyle w:val="Heading2"/>
        <w:spacing w:before="120" w:after="60" w:line="259" w:lineRule="auto"/>
      </w:pPr>
      <w:r>
        <w:rPr>
          <w:rFonts w:ascii="Times New Roman" w:hAnsi="Times New Roman"/>
          <w:b/>
          <w:sz w:val="22"/>
        </w:rPr>
        <w:t>1 Eröffnung</w:t>
      </w:r>
    </w:p>
    <w:p>
      <w:pPr>
        <w:spacing w:line="259" w:lineRule="auto" w:after="60"/>
        <w:jc w:val="left"/>
      </w:pPr>
      <w:r>
        <w:t>Über das Vermögen der Schuldnerin wird wegen Zahlungsunfähigkeit heute, am 1. Mai 2026, um 8.00 Uhr das Insolvenzverfahren eröffnet. Der Antrag der Schuldnerin vom 2. März 2026 ist an diesem Tag bei Gericht eingegangen.</w:t>
      </w:r>
    </w:p>
    <w:p>
      <w:pPr>
        <w:pStyle w:val="Heading2"/>
        <w:spacing w:line="259" w:lineRule="auto" w:after="60"/>
      </w:pPr>
      <w:r>
        <w:rPr>
          <w:rFonts w:ascii="Times New Roman" w:hAnsi="Times New Roman"/>
        </w:rPr>
        <w:t>2 Insolvenzverwalterin</w:t>
      </w:r>
    </w:p>
    <w:p>
      <w:pPr>
        <w:spacing w:line="259" w:lineRule="auto" w:after="60"/>
        <w:jc w:val="left"/>
      </w:pPr>
      <w:r>
        <w:t>Zur Insolvenzverwalterin wird bestellt: Rechtsanwältin Dr. Ilka Bernstorf, Große Bleiche 27, 55116 Mainz. Die mit Beschluss vom 3. März 2026 angeordnete vorläufige Insolvenzverwaltung ist mit der Eröffnung beendet.</w:t>
      </w:r>
    </w:p>
    <w:p>
      <w:pPr>
        <w:pStyle w:val="Heading2"/>
        <w:spacing w:line="259" w:lineRule="auto" w:after="60"/>
      </w:pPr>
      <w:r>
        <w:rPr>
          <w:rFonts w:ascii="Times New Roman" w:hAnsi="Times New Roman"/>
        </w:rPr>
        <w:t>3 Aufforderungen an die Gläubiger</w:t>
      </w:r>
    </w:p>
    <w:p>
      <w:pPr>
        <w:spacing w:line="259" w:lineRule="auto" w:after="60"/>
        <w:jc w:val="left"/>
      </w:pPr>
      <w:r>
        <w:t>Die Gläubiger werden aufgefordert, ihre Forderungen bis zum 15. Juni 2026 unter Beachtung des § 174 InsO bei der Insolvenzverwalterin anzumelden. Die Gläubiger werden ferner aufgefordert, der Verwalterin unverzüglich mitzuteilen, welche Sicherungsrechte sie an beweglichen Sachen oder an Rechten der Schuldnerin in Anspruch nehmen.</w:t>
      </w:r>
    </w:p>
    <w:p>
      <w:pPr>
        <w:pStyle w:val="Heading2"/>
        <w:spacing w:line="259" w:lineRule="auto" w:after="60"/>
      </w:pPr>
      <w:r>
        <w:rPr>
          <w:rFonts w:ascii="Times New Roman" w:hAnsi="Times New Roman"/>
        </w:rPr>
        <w:t>4 Verfügungsverbot und Leistungsverbot</w:t>
      </w:r>
    </w:p>
    <w:p>
      <w:pPr>
        <w:spacing w:line="259" w:lineRule="auto" w:after="60"/>
        <w:jc w:val="left"/>
      </w:pPr>
      <w:r>
        <w:t>Personen, die Verpflichtungen gegenüber der Schuldnerin haben, werden aufgefordert, nicht mehr an die Schuldnerin, sondern nur noch an die Insolvenzverwalterin zu leisten (§ 28 Abs. 3 InsO).</w:t>
      </w:r>
    </w:p>
    <w:p>
      <w:pPr>
        <w:pStyle w:val="Heading2"/>
        <w:spacing w:line="259" w:lineRule="auto" w:after="60"/>
      </w:pPr>
      <w:r>
        <w:rPr>
          <w:rFonts w:ascii="Times New Roman" w:hAnsi="Times New Roman"/>
        </w:rPr>
        <w:t>5 Termine</w:t>
      </w:r>
    </w:p>
    <w:p>
      <w:pPr>
        <w:spacing w:line="259" w:lineRule="auto" w:after="60"/>
        <w:jc w:val="left"/>
      </w:pPr>
      <w:r>
        <w:t>Berichtstermin und Prüfungstermin werden auf Mittwoch, den 8. Juli 2026, 10.00 Uhr, Saal 112 des Amtsgerichts Mainz, bestimmt.</w:t>
      </w:r>
    </w:p>
    <w:p>
      <w:pPr>
        <w:pStyle w:val="Heading2"/>
        <w:spacing w:line="259" w:lineRule="auto" w:after="60"/>
      </w:pPr>
      <w:r>
        <w:rPr>
          <w:rFonts w:ascii="Times New Roman" w:hAnsi="Times New Roman"/>
        </w:rPr>
        <w:t>6 Gründe</w:t>
      </w:r>
    </w:p>
    <w:p>
      <w:pPr>
        <w:spacing w:line="259" w:lineRule="auto" w:after="60"/>
        <w:jc w:val="left"/>
      </w:pPr>
      <w:r>
        <w:t>Der zulässige Eigenantrag ist begründet. Nach dem Gutachten der Sachverständigen Dr. Bernstorf vom 21. April 2026 ist die Schuldnerin zahlungsunfähig; die fälligen Verbindlichkeiten können aus den vorhandenen liquiden Mitteln nicht bedient werden. Die Kosten des Verfahrens sind durch das freie Vermögen der Schuldnerin voraussichtlich gedeckt.</w:t>
      </w:r>
    </w:p>
    <w:p>
      <w:pPr>
        <w:spacing w:line="259" w:lineRule="auto" w:after="60"/>
        <w:jc w:val="left"/>
      </w:pPr>
      <w:r>
        <w:t>gez. Dr. Salm, Richter am Amtsgericht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