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Anfechtungsschreiben der Insolvenzverwalterin</w:t>
      </w:r>
    </w:p>
    <w:p>
      <w:pPr>
        <w:spacing w:line="259" w:lineRule="auto" w:after="60"/>
        <w:jc w:val="left"/>
      </w:pPr>
      <w:r>
        <w:rPr>
          <w:b/>
        </w:rPr>
        <w:t>Bernstorf Insolvenzverwaltung</w:t>
      </w:r>
      <w:r>
        <w:t xml:space="preserve"> · Rechtsanwältin Dr. Ilka Bernstorf · Große Bleiche 27 · 55116 Mainz · Telefon 06131 4498-0</w:t>
      </w:r>
    </w:p>
    <w:p>
      <w:pPr>
        <w:spacing w:before="120" w:after="60" w:line="259" w:lineRule="auto"/>
        <w:jc w:val="left"/>
      </w:pPr>
      <w:r>
        <w:rPr>
          <w:rFonts w:ascii="Times New Roman" w:hAnsi="Times New Roman"/>
          <w:b w:val="0"/>
          <w:i w:val="0"/>
          <w:sz w:val="22"/>
        </w:rPr>
        <w:t>Aktenzeichen: 041/26 IB — bitte stets angeben</w:t>
      </w:r>
    </w:p>
    <w:p>
      <w:pPr>
        <w:spacing w:before="120" w:after="60" w:line="259" w:lineRule="auto"/>
        <w:jc w:val="left"/>
      </w:pPr>
      <w:r>
        <w:rPr>
          <w:rFonts w:ascii="Times New Roman" w:hAnsi="Times New Roman"/>
          <w:b/>
          <w:sz w:val="22"/>
        </w:rPr>
        <w:t>Mainz, den 12. Mai 2026</w:t>
      </w:r>
    </w:p>
    <w:p>
      <w:pPr>
        <w:spacing w:line="259" w:lineRule="auto" w:after="60"/>
        <w:jc w:val="left"/>
      </w:pPr>
      <w:r>
        <w:t>An die Sparkasse Weinbergland Mainz, Anstalt des öffentlichen Rechts, — Vorstand — Kaiserstraße 41, 55116 Mainz</w:t>
      </w:r>
    </w:p>
    <w:p>
      <w:pPr>
        <w:spacing w:line="259" w:lineRule="auto" w:after="60"/>
        <w:jc w:val="left"/>
      </w:pPr>
      <w:r>
        <w:t>Betreff: Insolvenzverfahren über das Vermögen der Domblick Weinkellerei-Betriebs-GmbH, AG Mainz 273 IN 45/26 — Insolvenzanfechtung der Saldenrückführung auf dem Konto IBAN DE44 5555 0100 0004 7110 22; Zahlungsaufforderung über 360.000,00 EUR</w:t>
      </w:r>
    </w:p>
    <w:p>
      <w:pPr>
        <w:spacing w:before="120" w:after="60" w:line="259" w:lineRule="auto"/>
        <w:jc w:val="left"/>
      </w:pPr>
      <w:r>
        <w:rPr>
          <w:rFonts w:ascii="Times New Roman" w:hAnsi="Times New Roman"/>
          <w:b/>
          <w:sz w:val="22"/>
        </w:rPr>
        <w:t>Sehr geehrte Damen und Herren,</w:t>
      </w:r>
    </w:p>
    <w:p>
      <w:pPr>
        <w:spacing w:line="259" w:lineRule="auto" w:after="60"/>
        <w:jc w:val="left"/>
      </w:pPr>
      <w:r>
        <w:t>in dem oben bezeichneten Insolvenzverfahren bin ich mit Beschluss des Amtsgerichts Mainz vom 1. Mai 2026 zur Insolvenzverwalterin bestellt worden. Ich erkläre hiermit die Anfechtung der nachfolgend bezeichneten Rechtshandlungen nach §§ 129, 130, 131, 143 InsO und fordere Sie zur Rückgewähr auf.</w:t>
      </w:r>
    </w:p>
    <w:p>
      <w:pPr>
        <w:pStyle w:val="Heading2"/>
        <w:spacing w:line="259" w:lineRule="auto" w:after="60"/>
      </w:pPr>
      <w:r>
        <w:rPr>
          <w:rFonts w:ascii="Times New Roman" w:hAnsi="Times New Roman"/>
        </w:rPr>
        <w:t>1 Sachverhalt und Berechnung</w:t>
      </w:r>
    </w:p>
    <w:p>
      <w:pPr>
        <w:spacing w:line="259" w:lineRule="auto" w:after="60"/>
        <w:jc w:val="left"/>
      </w:pPr>
      <w:r>
        <w:t>1.1 Der Eröffnungsantrag der Schuldnerin ist am 2. März 2026 bei Gericht eingegangen. Der anfechtungsrelevante Dreimonatszeitraum der §§ 130, 131 InsO umfasst damit die Zeit ab dem 2. Dezember 2025.</w:t>
      </w:r>
    </w:p>
    <w:p>
      <w:pPr>
        <w:spacing w:line="259" w:lineRule="auto" w:after="60"/>
        <w:jc w:val="left"/>
      </w:pPr>
      <w:r>
        <w:t>1.2 Der Sollsaldo des Kontokorrentkontos betrug am 2. Dezember 2025 471.800,00 EUR. Am 2. März 2026 betrug er noch 111.800,00 EUR. In diesem Zeitraum haben Sie Zahlungseingänge von insgesamt 476.100,00 EUR vereinnahmt und mit dem Sollsaldo verrechnet, während Sie Verfügungen der Schuldnerin nur noch in Höhe von 116.100,00 EUR zugelassen haben. Der Saldo wurde dadurch um 360.000,00 EUR zurückgeführt. Die Einzelbeträge ergeben sich aus der beigefügten Tagessaldenliste, die auf Ihren eigenen Kontounterlagen beruht.</w:t>
      </w:r>
    </w:p>
    <w:p>
      <w:pPr>
        <w:spacing w:line="259" w:lineRule="auto" w:after="60"/>
        <w:jc w:val="left"/>
      </w:pPr>
      <w:r>
        <w:t>1.3 Die Rückführung beruhte nicht auf einer werbenden Wiederausnutzung der Linie, sondern auf deren gezielter Abschmelzung: Sie haben die Kreditlinie von 480.000,00 EUR mit den Vereinbarungen vom 5. Dezember 2025, 14. Januar 2026 und 10. Februar 2026 in drei Schritten auf 120.000,00 EUR herabgesetzt, die Schuldnerin zur ausschließlichen Kontoführung über Ihr Haus verpflichtet und Auszahlungen von einer Einzelfreigabe abhängig gemacht. Aufträge der Schuldnerin, etwa die Überweisung an die Glashandel Rheinglas Bodenheim GmbH vom 22. Dezember 2025 und die Restlohnzahlung vom 12. Februar 2026, haben Sie zurückgegeben.</w:t>
      </w:r>
    </w:p>
    <w:p>
      <w:pPr>
        <w:pStyle w:val="Heading2"/>
        <w:spacing w:line="259" w:lineRule="auto" w:after="60"/>
      </w:pPr>
      <w:r>
        <w:rPr>
          <w:rFonts w:ascii="Times New Roman" w:hAnsi="Times New Roman"/>
        </w:rPr>
        <w:t>2 Anfechtbarkeit nach § 130 Abs. 1 Satz 1 Nr. 1 InsO</w:t>
      </w:r>
    </w:p>
    <w:p>
      <w:pPr>
        <w:spacing w:line="259" w:lineRule="auto" w:after="60"/>
        <w:jc w:val="left"/>
      </w:pPr>
      <w:r>
        <w:t>2.1 Die Verrechnung jedes einzelnen Zahlungseingangs mit dem Sollsaldo ist eine Rechtshandlung, die Ihnen als Insolvenzgläubigerin eine Befriedigung Ihrer Rückzahlungsforderung aus dem Kontokorrentkredit gewährt hat (§ 129 Abs. 1, § 130 Abs. 1 InsO). Die Gläubigerbenachteiligung liegt in der endgültigen Vereinnahmung von 360.000,00 EUR, die andernfalls der Masse zur gleichmäßigen Verteilung zur Verfügung stünden.</w:t>
      </w:r>
    </w:p>
    <w:p>
      <w:pPr>
        <w:spacing w:line="259" w:lineRule="auto" w:after="60"/>
        <w:jc w:val="left"/>
      </w:pPr>
      <w:r>
        <w:t>2.2 Die Schuldnerin war während des gesamten Dreimonatszeitraums zahlungsunfähig im Sinne des § 17 Abs. 2 InsO. Bereits ab April 2025 bestand nach den betriebswirtschaftlichen Auswertungen eine Unterdeckung der fälligen Verbindlichkeiten von mehr als 10 Prozent, die durchgehend bis zur Antragstellung anhielt und im Dezember 2025 46.5 Prozent erreichte. Die Zahlungseinstellung war zudem nach außen erkennbar (§ 17 Abs. 2 Satz 2 InsO).</w:t>
      </w:r>
    </w:p>
    <w:p>
      <w:pPr>
        <w:spacing w:line="259" w:lineRule="auto" w:after="60"/>
        <w:jc w:val="left"/>
      </w:pPr>
      <w:r>
        <w:t>2.3 Ihre Kenntnis der Zahlungsunfähigkeit folgt aus § 130 Abs. 2 InsO. Ihnen waren aus der eigenen Kontoführung sämtliche Umstände bekannt, die zwingend auf die Zahlungsunfähigkeit schließen lassen: siebzehn Rücklastschriften seit April 2025, darunter viermal Gesamtsozialversicherungsbeiträge, zwei Scheckrückgaben mangels Deckung, die Kontopfändung des Finanzamts Mainz-Altstadt vom 11. September 2025 über 22.400,00 EUR, die Kontopfändung der Einzugsstelle vom 6. November 2025 über 18.760,00 EUR sowie die seit April 2025 nahezu ununterbrochen zu über 95 Prozent ausgereizte Linie. Ihr eigener Vermerk der Intensivbetreuung vom 24. November 2025 dokumentiert eine „gesteuerte Exit-Strategie" zur Reduzierung des Blankoanteils „vor einem etwaigen Insolvenzereignis".</w:t>
      </w:r>
    </w:p>
    <w:p>
      <w:pPr>
        <w:pStyle w:val="Heading2"/>
        <w:spacing w:line="259" w:lineRule="auto" w:after="60"/>
      </w:pPr>
      <w:r>
        <w:rPr>
          <w:rFonts w:ascii="Times New Roman" w:hAnsi="Times New Roman"/>
        </w:rPr>
        <w:t>3 Anfechtbarkeit nach § 131 Abs. 1 InsO (inkongruente Deckung)</w:t>
      </w:r>
    </w:p>
    <w:p>
      <w:pPr>
        <w:spacing w:line="259" w:lineRule="auto" w:after="60"/>
        <w:jc w:val="left"/>
      </w:pPr>
      <w:r>
        <w:t>3.1 Die Verrechnungen waren überdies inkongruent. Bis zur jeweiligen Herabsetzung der Linie hatte die Schuldnerin einen Anspruch auf Wiederausnutzung des Kontokorrentkredits; erst die in der Krise erzwungenen „Anpassungsvereinbarungen" verschafften Ihnen die Möglichkeit, die Eingänge endgültig zu vereinnahmen. Eine Befriedigung, die sich der Gläubiger erst durch eine in der Krise abgenötigte Vertragsänderung verschafft, hat er „nicht in der Art" zu beanspruchen (§ 131 Abs. 1 InsO). Die Freiwilligkeit der Vereinbarungen war nur formal: Ihr Betreuer hat dem Geschäftsführer für den Fall der Verweigerung die fristlose Kündigung und sofortige Fälligstellung angekündigt; Ihr interner Vermerk bezeichnet die Alternative der Kündigung ausdrücklich als „Verhandlungsrahmen".</w:t>
      </w:r>
    </w:p>
    <w:p>
      <w:pPr>
        <w:spacing w:line="259" w:lineRule="auto" w:after="60"/>
        <w:jc w:val="left"/>
      </w:pPr>
      <w:r>
        <w:t>3.2 Für die Verrechnungen im letzten Monat vor dem Antrag (ab dem 2. Februar 2026) gilt § 131 Abs. 1 Nr. 1 InsO ohne weitere Voraussetzungen. Für die Verrechnungen im zweiten und dritten Monat greifen § 131 Abs. 1 Nr. 2 InsO wegen der eingetretenen Zahlungsunfähigkeit sowie § 131 Abs. 1 Nr. 3 InsO, da Ihnen die Benachteiligung der übrigen Gläubiger nach den unter Ziffer 2.3 dargestellten Umständen bekannt war.</w:t>
      </w:r>
    </w:p>
    <w:p>
      <w:pPr>
        <w:spacing w:line="259" w:lineRule="auto" w:after="60"/>
        <w:jc w:val="left"/>
      </w:pPr>
      <w:r>
        <w:t>3.3 Hervorzuheben ist die Verrechnung nach Zustellung des Pfändungs- und Überweisungsbeschlusses des Amtsgerichts Mainz vom 19. Januar 2026 (34 M 4457/25) am 26. Januar 2026. Ab diesem Tag haben Sie in Kenntnis einer laufenden Einzelzwangsvollstreckung eines Drittgläubigers weitere Eingänge von 207.450,00 EUR mit Ihrem Sollsaldo verrechnet, statt die Beträge herauszugeben oder zu hinterlegen.</w:t>
      </w:r>
    </w:p>
    <w:p>
      <w:pPr>
        <w:pStyle w:val="Heading2"/>
        <w:spacing w:line="259" w:lineRule="auto" w:after="60"/>
      </w:pPr>
      <w:r>
        <w:rPr>
          <w:rFonts w:ascii="Times New Roman" w:hAnsi="Times New Roman"/>
        </w:rPr>
        <w:t>4 Rechtsfolge und Zahlungsaufforderung</w:t>
      </w:r>
    </w:p>
    <w:p>
      <w:pPr>
        <w:spacing w:line="259" w:lineRule="auto" w:after="60"/>
        <w:jc w:val="left"/>
      </w:pPr>
      <w:r>
        <w:t xml:space="preserve">Nach § 143 Abs. 1 InsO haben Sie zur Insolvenzmasse zurückzugewähren, was durch die anfechtbaren Verrechnungen aus dem Vermögen der Schuldnerin weggegeben wurde. Ich fordere Sie auf, </w:t>
      </w:r>
      <w:r>
        <w:rPr>
          <w:b/>
        </w:rPr>
        <w:t>360.000,00 EUR</w:t>
      </w:r>
      <w:r>
        <w:t xml:space="preserve"> nebst Zinsen hieraus in Höhe von fünf Prozentpunkten über dem Basiszinssatz seit dem 1. Mai 2026 bis zum </w:t>
      </w:r>
      <w:r>
        <w:rPr>
          <w:b/>
        </w:rPr>
        <w:t>12. Juni 2026</w:t>
      </w:r>
      <w:r>
        <w:t xml:space="preserve"> auf das Anderkonto der Insolvenzverwaltung, IBAN DE21 5505 0120 0200 0410 26 bei der Landesbank Rheinland-Pfalz-Mitte, zu zahlen.</w:t>
      </w:r>
    </w:p>
    <w:p>
      <w:pPr>
        <w:spacing w:line="259" w:lineRule="auto" w:after="60"/>
        <w:jc w:val="left"/>
      </w:pPr>
      <w:r>
        <w:t>Sollte die Zahlung nicht fristgerecht eingehen, werde ich ohne weitere Ankündigung Klage vor dem Landgericht Mainz erheben. Zur Vermeidung eines Rechtsstreits bin ich bereit, die Sach- und Rechtslage in einem Gespräch zu erörtern.</w:t>
      </w:r>
    </w:p>
    <w:p>
      <w:pPr>
        <w:spacing w:line="259" w:lineRule="auto" w:after="60"/>
        <w:jc w:val="left"/>
      </w:pPr>
      <w:r>
        <w:t>Mit freundlichen Grüßen</w:t>
      </w:r>
    </w:p>
    <w:p>
      <w:pPr>
        <w:spacing w:line="259" w:lineRule="auto" w:after="60"/>
        <w:jc w:val="left"/>
      </w:pPr>
      <w:r>
        <w:t>Dr. Ilka Bernstorf</w:t>
      </w:r>
    </w:p>
    <w:p>
      <w:pPr>
        <w:spacing w:line="259" w:lineRule="auto" w:after="60"/>
        <w:jc w:val="left"/>
      </w:pPr>
      <w:r>
        <w:t>Rechtsanwältin, Insolvenzverwalterin</w:t>
      </w:r>
    </w:p>
    <w:p>
      <w:pPr>
        <w:spacing w:line="259" w:lineRule="auto" w:after="60"/>
        <w:jc w:val="left"/>
      </w:pPr>
      <w:r>
        <w:t>Anlagen: Tagessaldenliste 2. Dezember 2025 bis 2. März 2026; Aufstellung der Rücklastschriften, Scheckrückgaben und Pfändungseingänge; Bankspiegel Januar 2025 bis Februar 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