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der Insolvenzverwalterin</w:t>
      </w:r>
    </w:p>
    <w:p>
      <w:pPr>
        <w:spacing w:line="259" w:lineRule="auto" w:after="60"/>
        <w:jc w:val="left"/>
      </w:pPr>
      <w:r>
        <w:rPr>
          <w:b/>
        </w:rPr>
        <w:t>Bernstorf Insolvenzverwaltung</w:t>
      </w:r>
      <w:r>
        <w:t xml:space="preserve"> · Rechtsanwältin Dr. Ilka Bernstorf · Große Bleiche 27 · 55116 Mainz · Telefon 06131 4498-0</w:t>
      </w:r>
    </w:p>
    <w:p>
      <w:pPr>
        <w:spacing w:before="120" w:after="60" w:line="259" w:lineRule="auto"/>
        <w:jc w:val="left"/>
      </w:pPr>
      <w:r>
        <w:rPr>
          <w:rFonts w:ascii="Times New Roman" w:hAnsi="Times New Roman"/>
          <w:b w:val="0"/>
          <w:i w:val="0"/>
          <w:sz w:val="22"/>
        </w:rPr>
        <w:t>Aktenzeichen: 041/26 IB · Ihr Zeichen: 226/26 CW08</w:t>
      </w:r>
    </w:p>
    <w:p>
      <w:pPr>
        <w:spacing w:before="120" w:after="60" w:line="259" w:lineRule="auto"/>
        <w:jc w:val="left"/>
      </w:pPr>
      <w:r>
        <w:rPr>
          <w:rFonts w:ascii="Times New Roman" w:hAnsi="Times New Roman"/>
          <w:b/>
          <w:sz w:val="22"/>
        </w:rPr>
        <w:t>Mainz, den 26. Juni 2026</w:t>
      </w:r>
    </w:p>
    <w:p>
      <w:pPr>
        <w:spacing w:line="259" w:lineRule="auto" w:after="60"/>
        <w:jc w:val="left"/>
      </w:pPr>
      <w:r>
        <w:t>An die Rechtsanwälte Dr. Cammann &amp; Weyrich Partnerschaft mbB, Wilhelmstraße 18, 65183 Wiesbaden</w:t>
      </w:r>
    </w:p>
    <w:p>
      <w:pPr>
        <w:spacing w:line="259" w:lineRule="auto" w:after="60"/>
        <w:jc w:val="left"/>
      </w:pPr>
      <w:r>
        <w:t>Betreff: Insolvenzverfahren Domblick Weinkellerei-Betriebs-GmbH, AG Mainz 273 IN 45/26 — Ihre Erwiderung vom 5. Juni 2026</w:t>
      </w:r>
    </w:p>
    <w:p>
      <w:pPr>
        <w:spacing w:before="120" w:after="60" w:line="259" w:lineRule="auto"/>
        <w:jc w:val="left"/>
      </w:pPr>
      <w:r>
        <w:rPr>
          <w:rFonts w:ascii="Times New Roman" w:hAnsi="Times New Roman"/>
          <w:b/>
          <w:sz w:val="22"/>
        </w:rPr>
        <w:t>Sehr geehrte Frau Kollegin Dr. Cammann,</w:t>
      </w:r>
    </w:p>
    <w:p>
      <w:pPr>
        <w:spacing w:line="259" w:lineRule="auto" w:after="60"/>
        <w:jc w:val="left"/>
      </w:pPr>
      <w:r>
        <w:t>Ihre Erwiderung gibt Anlass zu folgenden Klarstellungen. An der Anfechtung und der Zahlungsaufforderung über 360.000,00 EUR nebst Zinsen halte ich in vollem Umfang fest.</w:t>
      </w:r>
    </w:p>
    <w:p>
      <w:pPr>
        <w:pStyle w:val="Heading2"/>
        <w:spacing w:line="259" w:lineRule="auto" w:after="60"/>
      </w:pPr>
      <w:r>
        <w:rPr>
          <w:rFonts w:ascii="Times New Roman" w:hAnsi="Times New Roman"/>
        </w:rPr>
        <w:t>1 Kein „gelebtes Kontokorrent", sondern planmäßige Abschmelzung</w:t>
      </w:r>
    </w:p>
    <w:p>
      <w:pPr>
        <w:spacing w:line="259" w:lineRule="auto" w:after="60"/>
        <w:jc w:val="left"/>
      </w:pPr>
      <w:r>
        <w:t>1.1 Ein Kontokorrent lebt vom Recht des Kunden auf Wiederausnutzung der Linie. Genau dieses Recht hat Ihre Mandantin der Schuldnerin in drei Schritten genommen. Von einem vertragsgemäß fortgeführten Kontokorrentverkehr kann keine Rede sein, wenn die Linie binnen neun Wochen um 75 Prozent gekürzt, jede Verfügung unter Einzelfreigabevorbehalt gestellt und selbst die Zahlung von Restlöhnen zurückgewiesen wird. Ihre Mandantin hat den Zahlungsverkehr nicht aufrechterhalten, sondern ihn zur Einbahnstraße gemacht: 476.100,00 EUR hinein, 116.100,00 EUR hinaus.</w:t>
      </w:r>
    </w:p>
    <w:p>
      <w:pPr>
        <w:spacing w:line="259" w:lineRule="auto" w:after="60"/>
        <w:jc w:val="left"/>
      </w:pPr>
      <w:r>
        <w:t>1.2 Der Einwand, ein Teil der Eingänge sei erst durch freigegebene Verfügungen erwirtschaftet worden, ist bereits rechnerisch berücksichtigt. Angefochten ist nicht die Summe der Eingänge, sondern allein der Verrechnungssaldo von 360.000,00 EUR, also die Differenz zwischen vereinnahmten Eingängen und sämtlichen zugelassenen Verfügungen. Ein Bargeschäft nach § 142 Abs. 1 InsO scheidet aus: Die Verrechnung von Altkredit gegen neue Eingänge ist kein Austausch von Leistung und gleichwertiger Gegenleistung, denn Ihre Mandantin hat für die vereinnahmten 360.000,00 EUR gerade keine neue, in das Schuldnervermögen gelangende Gegenleistung erbracht. Die bloße Nichtkündigung ist keine Leistung im Sinne dieser Vorschrift.</w:t>
      </w:r>
    </w:p>
    <w:p>
      <w:pPr>
        <w:pStyle w:val="Heading2"/>
        <w:spacing w:line="259" w:lineRule="auto" w:after="60"/>
      </w:pPr>
      <w:r>
        <w:rPr>
          <w:rFonts w:ascii="Times New Roman" w:hAnsi="Times New Roman"/>
        </w:rPr>
        <w:t>2 Inkongruenz</w:t>
      </w:r>
    </w:p>
    <w:p>
      <w:pPr>
        <w:spacing w:line="259" w:lineRule="auto" w:after="60"/>
        <w:jc w:val="left"/>
      </w:pPr>
      <w:r>
        <w:t>2.1 Die Verrechnungsbefugnis aus AGB und § 355 HGB trug nur, solange der Schuldnerin die Wiederausnutzung offenstand. Deckung „in der Art" hatte Ihre Mandantin nur in dieser Gestalt zu beanspruchen: Verrechnung bei gleichzeitiger Wiederausnutzbarkeit. Die endgültige Vereinnahmung der Eingänge beruhte ausschließlich auf den drei Anpassungsvereinbarungen, die sich Ihre Mandantin erst im Dreimonatszeitraum und in Kenntnis der Krise hat einräumen lassen. Wer sich die Rechtsgrundlage seiner Deckung erst in der kritischen Zeit verschafft, empfängt inkongruent.</w:t>
      </w:r>
    </w:p>
    <w:p>
      <w:pPr>
        <w:spacing w:line="259" w:lineRule="auto" w:after="60"/>
        <w:jc w:val="left"/>
      </w:pPr>
      <w:r>
        <w:t>2.2 Zur behaupteten Freiwilligkeit verweise ich auf den von Ihnen selbst vorgelegten Vermerk vom 24. November 2025. Dort wird die Kündigungsalternative ausdrücklich als „Verhandlungsrahmen" bezeichnet, die Strategie als „gesteuerte Exit-Strategie" mit dem erklärten Ziel, den Blankoanteil „vor einem etwaigen Insolvenzereignis" auf den besicherten Sockel zu reduzieren. Das ist die Beschreibung einer Gläubigerbenachteiligung mit Ansage, nicht die einer Sanierungsbegleitung. Ein Sanierungskonzept lag nach dem eigenen Vermerk Ihrer Mandantin gerade nicht vor.</w:t>
      </w:r>
    </w:p>
    <w:p>
      <w:pPr>
        <w:pStyle w:val="Heading2"/>
        <w:spacing w:line="259" w:lineRule="auto" w:after="60"/>
      </w:pPr>
      <w:r>
        <w:rPr>
          <w:rFonts w:ascii="Times New Roman" w:hAnsi="Times New Roman"/>
        </w:rPr>
        <w:t>3 Kenntnis</w:t>
      </w:r>
    </w:p>
    <w:p>
      <w:pPr>
        <w:spacing w:line="259" w:lineRule="auto" w:after="60"/>
        <w:jc w:val="left"/>
      </w:pPr>
      <w:r>
        <w:t>3.1 Der Verweis auf die Saisonalität des Weinhandels verfängt nicht. Rücklastschriften auf Gesamtsozialversicherungsbeiträge — viermal binnen acht Monaten — sind kein Saisonphänomen, sondern das klassische Zeichen dafür, dass ein Schuldner selbst die unter Strafandrohung stehenden Verbindlichkeiten nicht mehr bedient. Hinzu treten zwei behördliche Kontopfändungen, zwei Scheckrückgaben und eine über zehn Monate zu über 95 Prozent ausgereizte Linie. § 130 Abs. 2 InsO lässt die Kenntnis von Umständen genügen, die zwingend auf die Zahlungsunfähigkeit schließen lassen; diese Umstände lagen Ihrer Mandantin vollständig und tagesaktuell vor, denn es waren ihre eigenen Buchungsdaten.</w:t>
      </w:r>
    </w:p>
    <w:p>
      <w:pPr>
        <w:spacing w:line="259" w:lineRule="auto" w:after="60"/>
        <w:jc w:val="left"/>
      </w:pPr>
      <w:r>
        <w:t>3.2 Dass der Eigenantrag den Eintritt der Zahlungsunfähigkeit auf Mitte Januar 2026 datiert, bindet weder die Verwalterin noch das Gericht. Maßgeblich sind die objektiven Liquiditätsdaten. Die betriebswirtschaftlichen Auswertungen weisen ab April 2025 eine Unterdeckung von durchgehend mehr als 10 Prozent der fälligen Verbindlichkeiten aus, über einen Zeitraum von elf Monaten. Im Übrigen widerlegt Ihre eigene Darstellung die Datierung des Geschäftsführers: Eine Bank, die im November 2025 eine Exit-Strategie wegen erhöhter Ausfallgefährdung beschließt, hat die Krise erkannt, bevor der Schuldner sie einräumt.</w:t>
      </w:r>
    </w:p>
    <w:p>
      <w:pPr>
        <w:spacing w:line="259" w:lineRule="auto" w:after="60"/>
        <w:jc w:val="left"/>
      </w:pPr>
      <w:r>
        <w:t>3.3 Soweit Sie darauf verweisen, die Auswertungen hätten Ihrer Mandantin nur bis September 2025 vorgelegen: Auch die Auswertung für September 2025 weist eine Unterdeckung von 33.1 Prozent aus. Ihrer Mandantin lag damit selbst nach Ihrem Vortrag ein Dokument vor, das die Zahlungsunfähigkeit auswies.</w:t>
      </w:r>
    </w:p>
    <w:p>
      <w:pPr>
        <w:pStyle w:val="Heading2"/>
        <w:spacing w:line="259" w:lineRule="auto" w:after="60"/>
      </w:pPr>
      <w:r>
        <w:rPr>
          <w:rFonts w:ascii="Times New Roman" w:hAnsi="Times New Roman"/>
        </w:rPr>
        <w:t>4 Verrechnung nach Kontopfändung</w:t>
      </w:r>
    </w:p>
    <w:p>
      <w:pPr>
        <w:spacing w:line="259" w:lineRule="auto" w:after="60"/>
        <w:jc w:val="left"/>
      </w:pPr>
      <w:r>
        <w:t>Der Rangeinwand geht an der Sache vorbei. Die Anfechtung stützt sich insoweit nicht auf einen Verstoß gegen das Zahlungsverbot, sondern darauf, dass Ihre Mandantin ab dem 26. Januar 2026 positiv wusste, dass ein Drittgläubiger die Einzelzwangsvollstreckung betreibt. Wer in dieser Lage weitere 207.450,00 EUR verrechnet, kennt die Benachteiligung der übrigen Gläubiger (§ 131 Abs. 1 Nr. 3 InsO). Ob daneben das AGB-Pfandrecht der Pfändung im Rang vorging, ist für die Anfechtung ohne Bedeutung, denn auch die Ausübung eines vorrangigen Verrechnungsrechts bleibt eine anfechtbare Rechtshandlung, wenn ihre insolvenzrechtlichen Voraussetzungen vorliegen.</w:t>
      </w:r>
    </w:p>
    <w:p>
      <w:pPr>
        <w:pStyle w:val="Heading2"/>
        <w:spacing w:line="259" w:lineRule="auto" w:after="60"/>
      </w:pPr>
      <w:r>
        <w:rPr>
          <w:rFonts w:ascii="Times New Roman" w:hAnsi="Times New Roman"/>
        </w:rPr>
        <w:t>5 Frist</w:t>
      </w:r>
    </w:p>
    <w:p>
      <w:pPr>
        <w:spacing w:line="259" w:lineRule="auto" w:after="60"/>
        <w:jc w:val="left"/>
      </w:pPr>
      <w:r>
        <w:t xml:space="preserve">Ich verlängere die Zahlungsfrist letztmalig bis zum </w:t>
      </w:r>
      <w:r>
        <w:rPr>
          <w:b/>
        </w:rPr>
        <w:t>17. Juli 2026</w:t>
      </w:r>
      <w:r>
        <w:t>. Nach fruchtlosem Ablauf werde ich Klage vor dem Landgericht Mainz erheben. Einem Gesprächstermin in der 28. Kalenderwoche sehe ich entgegen; einen Vergleichsrahmen kann ich nur auf der Grundlage einer substantiierten Stellungnahme zu den Ziffern 2 und 3 erörtern.</w:t>
      </w:r>
    </w:p>
    <w:p>
      <w:pPr>
        <w:spacing w:line="259" w:lineRule="auto" w:after="60"/>
        <w:jc w:val="left"/>
      </w:pPr>
      <w:r>
        <w:t>Mit freundlichen kollegialen Grüßen</w:t>
      </w:r>
    </w:p>
    <w:p>
      <w:pPr>
        <w:spacing w:line="259" w:lineRule="auto" w:after="60"/>
        <w:jc w:val="left"/>
      </w:pPr>
      <w:r>
        <w:t>Dr. Ilka Bernstorf</w:t>
      </w:r>
    </w:p>
    <w:p>
      <w:pPr>
        <w:spacing w:line="259" w:lineRule="auto" w:after="60"/>
        <w:jc w:val="left"/>
      </w:pPr>
      <w:r>
        <w:t>Rechtsanwältin, 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