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Kontokorrentkreditvertrag vom 30. Juni 2021 (Abschrift aus der Kreditakte)</w:t>
      </w:r>
    </w:p>
    <w:p>
      <w:pPr>
        <w:spacing w:before="120" w:after="60" w:line="259" w:lineRule="auto"/>
        <w:jc w:val="left"/>
      </w:pPr>
      <w:r>
        <w:rPr>
          <w:rFonts w:ascii="Times New Roman" w:hAnsi="Times New Roman"/>
          <w:b/>
          <w:sz w:val="22"/>
        </w:rPr>
        <w:t>Volksbank Emscher-Hellweg eG</w:t>
      </w:r>
    </w:p>
    <w:p>
      <w:pPr>
        <w:spacing w:before="120" w:after="60" w:line="259" w:lineRule="auto"/>
        <w:jc w:val="left"/>
      </w:pPr>
      <w:r>
        <w:rPr>
          <w:rFonts w:ascii="Times New Roman" w:hAnsi="Times New Roman"/>
          <w:b/>
          <w:sz w:val="22"/>
        </w:rPr>
        <w:t>Westenhellweg 71–73, 44137 Dortmund</w:t>
      </w:r>
    </w:p>
    <w:p>
      <w:pPr>
        <w:spacing w:before="120" w:after="60" w:line="259" w:lineRule="auto"/>
        <w:jc w:val="left"/>
      </w:pPr>
      <w:r>
        <w:rPr>
          <w:rFonts w:ascii="Times New Roman" w:hAnsi="Times New Roman"/>
          <w:b/>
          <w:sz w:val="22"/>
        </w:rPr>
        <w:t>Genossenschaftsregister GnR 442 (AG Dortmund)</w:t>
      </w:r>
    </w:p>
    <w:p>
      <w:pPr>
        <w:spacing w:before="120" w:after="60" w:line="259" w:lineRule="auto"/>
        <w:jc w:val="left"/>
      </w:pPr>
      <w:r>
        <w:rPr>
          <w:rFonts w:ascii="Times New Roman" w:hAnsi="Times New Roman"/>
          <w:b/>
          <w:sz w:val="22"/>
        </w:rPr>
        <w:t>Kredit-Nr. 6023-114-559</w:t>
      </w:r>
    </w:p>
    <w:p>
      <w:pPr>
        <w:spacing w:before="120" w:after="60" w:line="259" w:lineRule="auto"/>
        <w:jc w:val="left"/>
      </w:pPr>
      <w:r>
        <w:rPr>
          <w:rFonts w:ascii="Times New Roman" w:hAnsi="Times New Roman"/>
          <w:b/>
          <w:sz w:val="22"/>
        </w:rPr>
        <w:t>Kontokorrentkreditvertrag</w:t>
      </w:r>
    </w:p>
    <w:p>
      <w:pPr>
        <w:spacing w:line="259" w:lineRule="auto" w:after="60"/>
        <w:jc w:val="left"/>
      </w:pPr>
      <w:r>
        <w:t xml:space="preserve">zwischen der Volksbank Emscher-Hellweg eG — nachstehend "Bank" — und der </w:t>
      </w:r>
      <w:r>
        <w:rPr>
          <w:b/>
        </w:rPr>
        <w:t>Ruhrland Getränkegroßhandel GmbH</w:t>
      </w:r>
      <w:r>
        <w:t>, Rüschebrinkstraße 118, 44328 Dortmund (HRB 34712, AG Dortmund), vertreten durch den Geschäftsführer Frank Buschkamp — nachstehend "Kreditnehmerin" —.</w:t>
      </w:r>
    </w:p>
    <w:p>
      <w:pPr>
        <w:pStyle w:val="Heading2"/>
        <w:spacing w:before="120" w:after="60" w:line="259" w:lineRule="auto"/>
      </w:pPr>
      <w:r>
        <w:rPr>
          <w:rFonts w:ascii="Times New Roman" w:hAnsi="Times New Roman"/>
          <w:b/>
          <w:sz w:val="22"/>
        </w:rPr>
        <w:t>1 Kreditrahmen und Zweck</w:t>
      </w:r>
    </w:p>
    <w:p>
      <w:pPr>
        <w:spacing w:line="259" w:lineRule="auto" w:after="60"/>
        <w:jc w:val="left"/>
      </w:pPr>
      <w:r>
        <w:t xml:space="preserve">Die Bank räumt der Kreditnehmerin auf dem Geschäftskonto IBAN DE63 4416 0014 3308 2145 00 einen Kontokorrentkredit bis zum Höchstbetrag von </w:t>
      </w:r>
      <w:r>
        <w:rPr>
          <w:b/>
        </w:rPr>
        <w:t>250.000 EUR</w:t>
      </w:r>
      <w:r>
        <w:t xml:space="preserve"> (in Worten: zweihundertfünfzigtausend Euro) ein. Der Kredit dient der Finanzierung des laufenden Geschäftsbetriebs, insbesondere des Wareneinkaufs und der Saisonvorfinanzierung. Der Kredit ist bis auf Weiteres eingeräumt ("b.a.w.").</w:t>
      </w:r>
    </w:p>
    <w:p>
      <w:pPr>
        <w:pStyle w:val="Heading2"/>
        <w:spacing w:line="259" w:lineRule="auto" w:after="60"/>
      </w:pPr>
      <w:r>
        <w:rPr>
          <w:rFonts w:ascii="Times New Roman" w:hAnsi="Times New Roman"/>
        </w:rPr>
        <w:t>2 Zinsen und Entgelte</w:t>
      </w:r>
    </w:p>
    <w:p>
      <w:pPr>
        <w:spacing w:line="259" w:lineRule="auto" w:after="60"/>
        <w:jc w:val="left"/>
      </w:pPr>
      <w:r>
        <w:t xml:space="preserve">Der Sollzinssatz beträgt 7,25 Prozent p. a., veränderlich. Für Inanspruchnahmen über den vereinbarten Höchstbetrag hinaus, die die Bank nicht schuldet und im Einzelfall dulden kann, berechnet die Bank zusätzlich den jeweils gültigen Überziehungszins von derzeit 4,50 Prozentpunkten über dem Sollzinssatz. </w:t>
      </w:r>
      <w:r>
        <w:rPr>
          <w:b/>
        </w:rPr>
        <w:t>Ein Anspruch der Kreditnehmerin auf Duldung von Überziehungen besteht nicht.</w:t>
      </w:r>
      <w:r>
        <w:t xml:space="preserve"> Die Zinsabrechnung erfolgt vierteljährlich; die Salden werden in laufende Rechnung eingestellt (Kontokorrentabrede gemäß § 355 HGB).</w:t>
      </w:r>
    </w:p>
    <w:p>
      <w:pPr>
        <w:pStyle w:val="Heading2"/>
        <w:spacing w:line="259" w:lineRule="auto" w:after="60"/>
      </w:pPr>
      <w:r>
        <w:rPr>
          <w:rFonts w:ascii="Times New Roman" w:hAnsi="Times New Roman"/>
        </w:rPr>
        <w:t>3 Sicherheiten</w:t>
      </w:r>
    </w:p>
    <w:p>
      <w:pPr>
        <w:spacing w:line="259" w:lineRule="auto" w:after="60"/>
        <w:jc w:val="left"/>
      </w:pPr>
      <w:r>
        <w:t xml:space="preserve">Zur Sicherung aller bestehenden und künftigen Ansprüche der Bank aus der Geschäftsverbindung dienen: (a) die </w:t>
      </w:r>
      <w:r>
        <w:rPr>
          <w:b/>
        </w:rPr>
        <w:t>Globalzession</w:t>
      </w:r>
      <w:r>
        <w:t xml:space="preserve"> sämtlicher bestehender und künftiger Forderungen aus Warenlieferungen und Leistungen gemäß gesondertem Globalabtretungsvertrag vom 30. Juni 2021; (b) die </w:t>
      </w:r>
      <w:r>
        <w:rPr>
          <w:b/>
        </w:rPr>
        <w:t>Sicherungsübereignung</w:t>
      </w:r>
      <w:r>
        <w:t xml:space="preserve"> des Warenlagers Rüschebrinkstraße 118 mit wechselndem Bestand sowie des Fuhrparks gemäß Raumsicherungsvertrag vom 30. Juni 2021; (c) das </w:t>
      </w:r>
      <w:r>
        <w:rPr>
          <w:b/>
        </w:rPr>
        <w:t>Pfandrecht</w:t>
      </w:r>
      <w:r>
        <w:t xml:space="preserve"> an Guthaben und Wertpapieren gemäß Nr. 14 der AGB der Bank; (d) die selbstschuldnerische Bürgschaft des Herrn Frank Buschkamp vom 30. Juni 2021, begrenzt auf 100.000 EUR.</w:t>
      </w:r>
    </w:p>
    <w:p>
      <w:pPr>
        <w:pStyle w:val="Heading2"/>
        <w:spacing w:line="259" w:lineRule="auto" w:after="60"/>
      </w:pPr>
      <w:r>
        <w:rPr>
          <w:rFonts w:ascii="Times New Roman" w:hAnsi="Times New Roman"/>
        </w:rPr>
        <w:t>4 Kündigung</w:t>
      </w:r>
    </w:p>
    <w:p>
      <w:pPr>
        <w:spacing w:line="259" w:lineRule="auto" w:after="60"/>
        <w:jc w:val="left"/>
      </w:pPr>
      <w:r>
        <w:t>Die Bank kann den Kredit jederzeit mit angemessener Frist kündigen; das Recht zur fristlosen Kündigung aus wichtigem Grund, insbesondere bei wesentlicher Verschlechterung der Vermögensverhältnisse der Kreditnehmerin oder der Werthaltigkeit der Sicherheiten, bleibt unberührt (Nr. 19 der AGB der Bank).</w:t>
      </w:r>
    </w:p>
    <w:p>
      <w:pPr>
        <w:pStyle w:val="Heading2"/>
        <w:spacing w:line="259" w:lineRule="auto" w:after="60"/>
      </w:pPr>
      <w:r>
        <w:rPr>
          <w:rFonts w:ascii="Times New Roman" w:hAnsi="Times New Roman"/>
        </w:rPr>
        <w:t>5 Auskunfts- und Vorlagepflichten</w:t>
      </w:r>
    </w:p>
    <w:p>
      <w:pPr>
        <w:spacing w:line="259" w:lineRule="auto" w:after="60"/>
        <w:jc w:val="left"/>
      </w:pPr>
      <w:r>
        <w:t>Die Kreditnehmerin verpflichtet sich, der Bank jährlich binnen neun Monaten den Jahresabschluss sowie auf Anforderung betriebswirtschaftliche Auswertungen, OPOS-Listen und Liquiditätsübersichten vorzulegen.</w:t>
      </w:r>
    </w:p>
    <w:p>
      <w:pPr>
        <w:pStyle w:val="Heading2"/>
        <w:spacing w:line="259" w:lineRule="auto" w:after="60"/>
      </w:pPr>
      <w:r>
        <w:rPr>
          <w:rFonts w:ascii="Times New Roman" w:hAnsi="Times New Roman"/>
        </w:rPr>
        <w:t>6 Schlussbestimmungen</w:t>
      </w:r>
    </w:p>
    <w:p>
      <w:pPr>
        <w:spacing w:line="259" w:lineRule="auto" w:after="60"/>
        <w:jc w:val="left"/>
      </w:pPr>
      <w:r>
        <w:t>Es gelten ergänzend die Allgemeinen Geschäftsbedingungen der Bank in der jeweils gültigen Fassung. Nebenabreden bestehen nicht; Änderungen bedürfen der Textform.</w:t>
      </w:r>
    </w:p>
    <w:p>
      <w:pPr>
        <w:spacing w:line="259" w:lineRule="auto" w:after="60"/>
        <w:jc w:val="left"/>
      </w:pPr>
      <w:r>
        <w:t>Dortmund, den 30. Juni 2021</w:t>
      </w:r>
    </w:p>
    <w:p>
      <w:pPr>
        <w:spacing w:line="259" w:lineRule="auto" w:after="60"/>
        <w:jc w:val="left"/>
      </w:pPr>
      <w:r>
        <w:t>Für die Bank: gez. Dir. Hans-Werner Plettenberg · gez. ppa. Carsten Wiegel</w:t>
      </w:r>
    </w:p>
    <w:p>
      <w:pPr>
        <w:spacing w:line="259" w:lineRule="auto" w:after="60"/>
        <w:jc w:val="left"/>
      </w:pPr>
      <w:r>
        <w:t>Für die Kreditnehmerin: gez. Frank Buschkamp, 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